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昆明市残疾人联合会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购买招聘编外人员考务及劳务派遣服务项目竞争性磋商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评审标准</w:t>
      </w:r>
    </w:p>
    <w:bookmarkEnd w:id="0"/>
    <w:tbl>
      <w:tblPr>
        <w:tblStyle w:val="5"/>
        <w:tblW w:w="8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60"/>
        <w:gridCol w:w="1019"/>
        <w:gridCol w:w="921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  分  项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  分  标  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认定资质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一票否决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（1）具有独立承担民事责任的能力；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（2）具有劳务派遣的执业资质；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（3）近3年内在经营活动中没有重大违法记录的书面声明（附佐证材料）；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（4）具有良好的商业信誉和合法的劳务派遣制度；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）符合法律、行政法规规定的其他条件；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）本次报价不接受联合体报价。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业绩情况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业绩经验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10分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商近三年至少完成3项类似业绩,新成立少于三年的机构平均每年完成1项类似业绩，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提供相关证明性材料，得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10分，对比次之得5-9分，对比一般得1-4分。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机构、人员、管理计划（20分）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机构设立、人员配置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、管理计划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机构设立完善，人员配置齐全、管理计划科学合理得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15-20分，对比次之得11-15分，对比一般得5-10分，对比差得1-4分。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80" w:firstLineChars="1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10分）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10分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以满足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文件要求且最后有效报价最低的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的价格为基准价格，其他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商的价格分统一按照以下公式计算：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报价得分=（基准价/报价）*10（保留两位小数点）。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服务方案（60分）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工作方案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50分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（1）工作方案详细，针对性强，有特色亮点得15-20分，对比次之得11-14分，对比一般得5-10分，对比差得1-4分；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（2）内容具体，能充分体现本项目特点，得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分，对比次之得5-9分，对比一般得1-4分，对比差得不得分；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（3）服务工作周期详细、合理、可行的，得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分，对比次之得5-9分，对比一般得1-4分，对比差得不得分；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（4）熟悉政府购买服务、有过类似经验，结合项目实际需求给分，1-10分。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服务质量保证措施及承诺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5分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（1）服务质量保证措施及承诺内容具体，切实可行，并附有具体违约承诺的得5分；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（2）服务质量保证措施及承诺内容空洞，有具体违约承诺的得2-4分；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（3）服务质量保证措施及承诺内容空洞，违约承诺不具体的得1分。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服务期限和廉洁管理措施及承诺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5分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（1）服务期限保障和廉洁管理措施内容具体，切实可行，并附有具体廉洁违约承诺的得5分；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（2）服务期限保障和廉洁管理措施内容空洞，有具体廉洁违约承诺的得2-4分；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（3）服务期限保障和廉洁管理措施内容空洞，且无具体廉洁违约承诺的得1分。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100分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2YxZTRmMGFlMGE1NTJlYjlkZWI1YTllZTQyMjEifQ=="/>
  </w:docVars>
  <w:rsids>
    <w:rsidRoot w:val="5B1A3FB9"/>
    <w:rsid w:val="0E023C9B"/>
    <w:rsid w:val="1766F09A"/>
    <w:rsid w:val="33115C47"/>
    <w:rsid w:val="33DF8CED"/>
    <w:rsid w:val="4A1F6A6F"/>
    <w:rsid w:val="4EF39AC7"/>
    <w:rsid w:val="53326C49"/>
    <w:rsid w:val="53E10AB8"/>
    <w:rsid w:val="5B1A3FB9"/>
    <w:rsid w:val="5DDF84D6"/>
    <w:rsid w:val="6C5F73F0"/>
    <w:rsid w:val="72B71EF9"/>
    <w:rsid w:val="C9BBB987"/>
    <w:rsid w:val="E7D7CCA4"/>
    <w:rsid w:val="F7F716AE"/>
    <w:rsid w:val="FBBF2BBE"/>
    <w:rsid w:val="FF49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2</Pages>
  <Words>872</Words>
  <Characters>932</Characters>
  <Lines>0</Lines>
  <Paragraphs>0</Paragraphs>
  <TotalTime>12</TotalTime>
  <ScaleCrop>false</ScaleCrop>
  <LinksUpToDate>false</LinksUpToDate>
  <CharactersWithSpaces>942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2024-03-19T17:35:00Z</dcterms:created>
  <dc:creator>Administrator</dc:creator>
  <cp:lastModifiedBy>景鸿成</cp:lastModifiedBy>
  <cp:lastPrinted>2024-06-11T16:17:00Z</cp:lastPrinted>
  <dcterms:modified xsi:type="dcterms:W3CDTF">2024-06-12T02:19:16Z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FE5EB8A5C5044D2E97D470FD5485A36E_13</vt:lpwstr>
  </property>
</Properties>
</file>