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center"/>
        <w:rPr>
          <w:rFonts w:hint="default" w:ascii="方正小标宋简体" w:hAnsi="方正小标宋简体" w:eastAsia="方正小标宋简体" w:cs="方正小标宋简体"/>
          <w:sz w:val="32"/>
          <w:szCs w:val="32"/>
          <w:lang w:val="en" w:eastAsia="zh-CN"/>
        </w:rPr>
      </w:pPr>
      <w:bookmarkStart w:id="0" w:name="_GoBack"/>
      <w:bookmarkEnd w:id="0"/>
      <w:r>
        <w:rPr>
          <w:rFonts w:hint="eastAsia" w:ascii="方正小标宋简体" w:hAnsi="方正小标宋简体" w:eastAsia="方正小标宋简体" w:cs="方正小标宋简体"/>
          <w:sz w:val="32"/>
          <w:szCs w:val="32"/>
          <w:lang w:val="en" w:eastAsia="zh-CN"/>
        </w:rPr>
        <w:t>附件</w:t>
      </w:r>
    </w:p>
    <w:p>
      <w:pPr>
        <w:pStyle w:val="2"/>
        <w:keepNext/>
        <w:keepLines/>
        <w:pageBreakBefore w:val="0"/>
        <w:widowControl w:val="0"/>
        <w:kinsoku/>
        <w:wordWrap/>
        <w:overflowPunct/>
        <w:topLinePunct w:val="0"/>
        <w:autoSpaceDE/>
        <w:autoSpaceDN/>
        <w:bidi w:val="0"/>
        <w:adjustRightInd w:val="0"/>
        <w:snapToGrid w:val="0"/>
        <w:spacing w:before="0" w:after="0"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w:t>
      </w:r>
      <w:r>
        <w:rPr>
          <w:rFonts w:hint="eastAsia" w:ascii="方正小标宋简体" w:hAnsi="方正小标宋简体" w:eastAsia="方正小标宋简体" w:cs="方正小标宋简体"/>
          <w:b w:val="0"/>
          <w:bCs w:val="0"/>
          <w:sz w:val="44"/>
          <w:szCs w:val="44"/>
          <w:highlight w:val="none"/>
          <w:shd w:val="clear" w:color="auto" w:fill="auto"/>
        </w:rPr>
        <w:t>“</w:t>
      </w:r>
      <w:r>
        <w:rPr>
          <w:rFonts w:hint="eastAsia" w:ascii="方正小标宋简体" w:hAnsi="方正小标宋简体" w:eastAsia="方正小标宋简体" w:cs="方正小标宋简体"/>
          <w:b w:val="0"/>
          <w:bCs w:val="0"/>
          <w:sz w:val="44"/>
          <w:szCs w:val="44"/>
        </w:rPr>
        <w:t>春城暖阳”扶残助残党建联盟</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eastAsia="zh-CN"/>
        </w:rPr>
        <w:t>一</w:t>
      </w:r>
      <w:r>
        <w:rPr>
          <w:rFonts w:hint="eastAsia" w:ascii="方正小标宋简体" w:hAnsi="方正小标宋简体" w:eastAsia="方正小标宋简体" w:cs="方正小标宋简体"/>
          <w:b w:val="0"/>
          <w:bCs w:val="0"/>
          <w:sz w:val="44"/>
          <w:szCs w:val="44"/>
        </w:rPr>
        <w:t>季度活动</w:t>
      </w:r>
      <w:r>
        <w:rPr>
          <w:rFonts w:hint="eastAsia" w:ascii="方正小标宋简体" w:hAnsi="方正小标宋简体" w:eastAsia="方正小标宋简体" w:cs="方正小标宋简体"/>
          <w:b w:val="0"/>
          <w:bCs w:val="0"/>
          <w:sz w:val="44"/>
          <w:szCs w:val="44"/>
          <w:lang w:val="en-US" w:eastAsia="zh-Hans"/>
        </w:rPr>
        <w:t>竞争性磋商</w:t>
      </w:r>
      <w:r>
        <w:rPr>
          <w:rFonts w:hint="eastAsia" w:ascii="方正小标宋简体" w:hAnsi="方正小标宋简体" w:eastAsia="方正小标宋简体" w:cs="方正小标宋简体"/>
          <w:sz w:val="44"/>
          <w:szCs w:val="44"/>
          <w:lang w:val="en-US" w:eastAsia="zh-CN"/>
        </w:rPr>
        <w:t>评审打分表</w:t>
      </w:r>
    </w:p>
    <w:p>
      <w:pPr>
        <w:pStyle w:val="2"/>
        <w:rPr>
          <w:rFonts w:hint="eastAsia"/>
          <w:lang w:val="en-US" w:eastAsia="zh-CN"/>
        </w:rPr>
      </w:pP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（1）在政府采购网站上有机构备案；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（2）具有相关承接资质，依法设立，能独立承担民事责任；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（3）机构健全，内部管理和监督制度完善；</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（4）具有独立的财务管理、会计核算和资产管理制度；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（5）有从事招标代理业务的营业场所和相应资金；</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（6）具有依法纳税和社保的良好记录；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（7）社会信誉、商业信誉良好。</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业绩情况</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供应商近三年至少完成3项类似业绩,新成立少于三年的机构平均每年完成1项类似业绩，</w:t>
            </w:r>
            <w:r>
              <w:rPr>
                <w:rFonts w:hint="eastAsia" w:ascii="方正仿宋_GBK" w:hAnsi="方正仿宋_GBK" w:eastAsia="方正仿宋_GBK" w:cs="方正仿宋_GBK"/>
                <w:i w:val="0"/>
                <w:color w:val="000000"/>
                <w:sz w:val="24"/>
                <w:szCs w:val="24"/>
                <w:u w:val="none"/>
                <w:lang w:eastAsia="zh-CN"/>
              </w:rPr>
              <w:t>提供相关证明性材料，得</w:t>
            </w:r>
            <w:r>
              <w:rPr>
                <w:rFonts w:hint="eastAsia" w:ascii="方正仿宋_GBK" w:hAnsi="方正仿宋_GBK" w:eastAsia="方正仿宋_GBK" w:cs="方正仿宋_GBK"/>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3"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机构、人员、管理计划（20分）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机构设立、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人员配置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机构设立完善，人员配置齐全、管理计划科学合理得</w:t>
            </w:r>
            <w:r>
              <w:rPr>
                <w:rFonts w:hint="eastAsia" w:ascii="方正仿宋_GBK" w:hAnsi="方正仿宋_GBK" w:eastAsia="方正仿宋_GBK" w:cs="方正仿宋_GBK"/>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280" w:firstLineChars="10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报价得分=（基准价/报价）*10（保留两位小数点）。</w:t>
            </w:r>
            <w:r>
              <w:rPr>
                <w:rFonts w:hint="eastAsia" w:ascii="方正仿宋_GBK" w:hAnsi="方正仿宋_GBK" w:eastAsia="方正仿宋_GBK" w:cs="方正仿宋_GBK"/>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服务方案（60分）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（2）内容具体，能充分体现本项目招标特点，得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（3）服务工作周期详细、合理、可行的，得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（4）熟悉政府购买服务、有过类似经验，结合项目实际需求给分，1-10分。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（1）服务质量保证措施及承诺内容具体，切实可行，并附有具体违约承诺的得5分；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（2）服务质量保证措施及承诺内容空洞，有具体违约承诺的得2-4分；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（1）服务期限保障和廉洁管理措施内容具体，切实可行，并附有具体廉洁违约承诺的得5分；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（2）服务期限保障和廉洁管理措施内容空洞，有具体廉洁违约承诺的得2-4分；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bl>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2YxZTRmMGFlMGE1NTJlYjlkZWI1YTllZTQyMjEifQ=="/>
  </w:docVars>
  <w:rsids>
    <w:rsidRoot w:val="1DAB40AB"/>
    <w:rsid w:val="04781B49"/>
    <w:rsid w:val="0DB13C25"/>
    <w:rsid w:val="0E1E7B8E"/>
    <w:rsid w:val="1DAB40AB"/>
    <w:rsid w:val="3DC060C2"/>
    <w:rsid w:val="41787F3A"/>
    <w:rsid w:val="563E0066"/>
    <w:rsid w:val="72B71EF9"/>
    <w:rsid w:val="7721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2024-03-18T01:06:00Z</dcterms:created>
  <dc:creator>Administrator</dc:creator>
  <cp:lastModifiedBy>Showx_</cp:lastModifiedBy>
  <cp:lastPrinted>2024-03-18T06:54:00Z</cp:lastPrinted>
  <dcterms:modified xsi:type="dcterms:W3CDTF">2024-03-18T07:25:41Z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A14E8BBAD4434987B7EBE0DDAE3A4B7E</vt:lpwstr>
  </property>
</Properties>
</file>