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黑体" w:hAnsi="黑体" w:eastAsia="黑体" w:cs="黑体"/>
          <w:bCs/>
          <w:sz w:val="52"/>
          <w:szCs w:val="52"/>
          <w:lang w:val="en-US" w:eastAsia="zh-CN"/>
        </w:rPr>
      </w:pPr>
      <w:r>
        <w:rPr>
          <w:rFonts w:hint="eastAsia" w:ascii="黑体" w:hAnsi="黑体" w:eastAsia="黑体" w:cs="黑体"/>
          <w:bCs/>
          <w:sz w:val="52"/>
          <w:szCs w:val="52"/>
          <w:lang w:val="en-US" w:eastAsia="zh-CN"/>
        </w:rPr>
        <w:t>昆明市残疾人综合服务中心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残疾人职业技能培训及就业服务经费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cs="黑体"/>
          <w:bCs/>
          <w:sz w:val="52"/>
          <w:szCs w:val="52"/>
        </w:rPr>
      </w:pPr>
      <w:r>
        <w:rPr>
          <w:rFonts w:hint="eastAsia" w:ascii="黑体" w:hAnsi="黑体" w:eastAsia="黑体" w:cs="黑体"/>
          <w:bCs/>
          <w:sz w:val="52"/>
          <w:szCs w:val="52"/>
        </w:rPr>
        <w:t>项目绩效自评报告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2022</w:t>
      </w:r>
      <w:r>
        <w:rPr>
          <w:rFonts w:hint="eastAsia" w:ascii="黑体" w:hAnsi="黑体" w:eastAsia="黑体" w:cs="黑体"/>
          <w:bCs/>
          <w:sz w:val="52"/>
          <w:szCs w:val="52"/>
        </w:rPr>
        <w:t>年度）</w:t>
      </w:r>
    </w:p>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hint="default" w:ascii="Times New Roman" w:hAnsi="Times New Roman" w:eastAsia="黑体" w:cs="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5.45pt;height:0pt;width:196.5pt;z-index:251660288;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C6nQHd/AEAAOwDAAAOAAAAZHJzL2Uyb0RvYy54bWytU0uO&#10;EzEQ3SNxB8t70klEENNKZxYJwwZBJOAAFbe725J/cnnSySW4ABIrYAWsZs9pYDgGZXcm82GTBb1w&#10;lz/1qt7z8/x8ZzTbyoDK2YpPRmPOpBWuVrat+Pt3F0+ec4YRbA3aWVnxvUR+vnj8aN77Uk5d53Qt&#10;AyMQi2XvK97F6MuiQNFJAzhyXlrabFwwEGka2qIO0BO60cV0PH5W9C7UPjghEWl1NWzyA2I4BdA1&#10;jRJy5cSlkTYOqEFqiEQJO+WRL3K3TSNFfNM0KCPTFSemMY9UhOJNGovFHMo2gO+UOLQAp7TwgJMB&#10;ZanoEWoFEdhlUP9AGSWCQ9fEkXCmGIhkRYjFZPxAm7cdeJm5kNToj6Lj/4MVr7frwFRNTuDMgqEL&#10;v/549fvDl+sf3399vvrz81OKv31lkyRV77GkjKVdh8MM/Tok3rsmmPQnRmyX5d0f5ZW7yAQtTp+e&#10;zWYzUl7c7BW3iT5gfCmdYSmoOMYAqu3i0llLl+jCJMsL21cYqTQl3iSkqtqyvuJns+mMwIFM2ZAZ&#10;KDSeiKFtcy46reoLpXXKwNBuljqwLSRj5C8RJNx7x1KRFWA3nMtbg2U6CfULW7O49ySZpZfCUwtG&#10;1pxpSQ8rRQQIZQSlTzlJpbWlDpLGg6op2rh6n8XO62SC3OPBsMlld+c5+/aRL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epcoNcAAAAJAQAADwAAAAAAAAABACAAAAAiAAAAZHJzL2Rvd25yZXYu&#10;eG1sUEsBAhQAFAAAAAgAh07iQLqdAd38AQAA7AMAAA4AAAAAAAAAAQAgAAAAJgEAAGRycy9lMm9E&#10;b2MueG1sUEsFBgAAAAAGAAYAWQEAAJQ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部门名称（公章）：</w:t>
      </w:r>
      <w:r>
        <w:rPr>
          <w:rFonts w:hint="eastAsia" w:ascii="Times New Roman" w:hAnsi="Times New Roman" w:eastAsia="黑体" w:cs="黑体"/>
          <w:b/>
          <w:bCs/>
          <w:sz w:val="28"/>
          <w:szCs w:val="28"/>
          <w:lang w:val="en-US" w:eastAsia="zh-CN"/>
        </w:rPr>
        <w:t xml:space="preserve">  昆明市残疾人综合服务中心</w:t>
      </w:r>
    </w:p>
    <w:p>
      <w:pPr>
        <w:adjustRightInd w:val="0"/>
        <w:snapToGrid w:val="0"/>
        <w:spacing w:line="360" w:lineRule="auto"/>
        <w:ind w:left="1260" w:leftChars="600"/>
        <w:rPr>
          <w:rFonts w:hint="default" w:ascii="Times New Roman" w:hAnsi="Times New Roman" w:eastAsia="黑体" w:cs="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7.45pt;height:0pt;width:196.5pt;z-index:251661312;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Dpyh7e/AEAAOwDAAAOAAAAZHJzL2Uyb0RvYy54bWytU82O&#10;0zAQviPxDpbvNG1FEBs13UPLckFQCXiAqeMklvwnj7dpX4IXQOIEnIDT3nkaWB6DsdPtwnLZAzk4&#10;Y4/nm/k+zyzO90aznQyonK35bDLlTFrhGmW7mr99c/HoKWcYwTagnZU1P0jk58uHDxaDr+Tc9U43&#10;MjACsVgNvuZ9jL4qChS9NIAT56UlZ+uCgUjb0BVNgIHQjS7m0+mTYnCh8cEJiUin69HJj4jhPoCu&#10;bZWQaycujbRxRA1SQyRK2CuPfJmrbVsp4qu2RRmZrjkxjXmlJGRv01osF1B1AXyvxLEEuE8JdzgZ&#10;UJaSnqDWEIFdBvUPlFEiOHRtnAhnipFIVoRYzKZ3tHndg5eZC0mN/iQ6/j9Y8XK3CUw1NS85s2Do&#10;wa/fX/189+n629cfH69+ff+Q7C+fWZmkGjxWFLGym3Dcod+ExHvfBpP+xIjts7yHk7xyH5mgw/nj&#10;s7IsSXlx4ytuA33A+Fw6w5JRc4wBVNfHlbOWHtGFWZYXdi8wUmoKvAlIWbVlQ83PyjmREEBN2VIz&#10;kGk8EUPb5Vh0WjUXSusUgaHbrnRgO0iNkb9EkHD/upaSrAH78V52jS3TS2ie2YbFgyfJLE0KTyUY&#10;2XCmJQ1WsggQqghK3+cmpdaWKkgaj6oma+uaQxY7n1MT5BqPDZu67M99jr4d0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GEXYNcAAAAJAQAADwAAAAAAAAABACAAAAAiAAAAZHJzL2Rvd25yZXYu&#10;eG1sUEsBAhQAFAAAAAgAh07iQOnKHt78AQAA7AMAAA4AAAAAAAAAAQAgAAAAJgEAAGRycy9lMm9E&#10;b2MueG1sUEsFBgAAAAAGAAYAWQEAAJQ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项目单位：</w:t>
      </w:r>
      <w:r>
        <w:rPr>
          <w:rFonts w:ascii="Times New Roman" w:hAnsi="Times New Roman" w:eastAsia="黑体" w:cs="黑体"/>
          <w:b/>
          <w:bCs/>
          <w:sz w:val="28"/>
          <w:szCs w:val="28"/>
        </w:rPr>
        <w:t xml:space="preserve"> </w:t>
      </w:r>
      <w:r>
        <w:rPr>
          <w:rFonts w:hint="eastAsia" w:ascii="Times New Roman" w:hAnsi="Times New Roman" w:eastAsia="黑体" w:cs="黑体"/>
          <w:b/>
          <w:bCs/>
          <w:sz w:val="28"/>
          <w:szCs w:val="28"/>
          <w:lang w:val="en-US" w:eastAsia="zh-CN"/>
        </w:rPr>
        <w:t>昆明市残疾人综合服务中心</w:t>
      </w:r>
    </w:p>
    <w:p>
      <w:pPr>
        <w:adjustRightInd w:val="0"/>
        <w:snapToGrid w:val="0"/>
        <w:spacing w:line="360" w:lineRule="auto"/>
        <w:ind w:left="1260" w:leftChars="600"/>
        <w:rPr>
          <w:rFonts w:hint="default" w:ascii="Times New Roman" w:hAnsi="Times New Roman" w:eastAsia="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213995</wp:posOffset>
                </wp:positionV>
                <wp:extent cx="249555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6.85pt;height:0pt;width:196.5pt;z-index:251662336;mso-width-relative:page;mso-height-relative:page;" filled="f" stroked="t" coordsize="21600,21600" o:gfxdata="UEsDBAoAAAAAAIdO4kAAAAAAAAAAAAAAAAAEAAAAZHJzL1BLAwQUAAAACACHTuJANP58mNcAAAAJ&#10;AQAADwAAAGRycy9kb3ducmV2LnhtbE2PwU7DMBBE70j8g7VIXBC1k4iUhjgVQuLAkbYSVzfeJoF4&#10;HcVOU/r1LOJQjjs7mnlTrk+uF0ccQ+dJQ7JQIJBqbztqNOy2r/ePIEI0ZE3vCTV8Y4B1dX1VmsL6&#10;md7xuImN4BAKhdHQxjgUUoa6RWfCwg9I/Dv40ZnI59hIO5qZw10vU6Vy6UxH3NCaAV9arL82k9OA&#10;YXpI1PPKNbu383z3kZ4/52Gr9e1Nop5ARDzFixl+8RkdKmba+4lsEL2GdKl4S9SQZUsQbMjzjIX9&#10;nyCrUv5fUP0AUEsDBBQAAAAIAIdO4kAztTYx/QEAAOwDAAAOAAAAZHJzL2Uyb0RvYy54bWytU82O&#10;0zAQviPxDpbvNG2XIjZquoeW5YKgEvAAU8dJLPlPHm/TvgQvgMQJOAGnvfM0sDwGY6fbheXSAzk4&#10;Y4/nm/k+z8wvdkazrQyonK34ZDTmTFrhamXbir99c/noKWcYwdagnZUV30vkF4uHD+a9L+XUdU7X&#10;MjACsVj2vuJdjL4sChSdNIAj56UlZ+OCgUjb0BZ1gJ7QjS6m4/GToneh9sEJiUinq8HJD4jhFEDX&#10;NErIlRNXRto4oAapIRIl7JRHvsjVNo0U8VXToIxMV5yYxrxSErI3aS0WcyjbAL5T4lACnFLCPU4G&#10;lKWkR6gVRGBXQf0DZZQIDl0TR8KZYiCSFSEWk/E9bV534GXmQlKjP4qO/w9WvNyuA1N1xc84s2Do&#10;wW/eX/989+nm29cfH69/ff+Q7C+f2VmSqvdYUsTSrsNhh34dEu9dE0z6EyO2y/Luj/LKXWSCDqeP&#10;z2ezGSkvbn3FXaAPGJ9LZ1gyKo4xgGq7uHTW0iO6MMnywvYFRkpNgbcBKau2rK/4+Ww6I3Cgpmyo&#10;Gcg0noihbXMsOq3qS6V1isDQbpY6sC2kxshfIki4f11LSVaA3XAvu4aW6STUz2zN4t6TZJYmhacS&#10;jKw505IGK1kECGUEpU+5Sam1pQqSxoOqydq4ep/FzufUBLnGQ8OmLvtzn6PvhnT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fJjXAAAACQEAAA8AAAAAAAAAAQAgAAAAIgAAAGRycy9kb3ducmV2&#10;LnhtbFBLAQIUABQAAAAIAIdO4kAztTYx/QEAAOwDAAAOAAAAAAAAAAEAIAAAACYBAABkcnMvZTJv&#10;RG9jLnhtbFBLBQYAAAAABgAGAFkBAACV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主管部门：</w:t>
      </w:r>
      <w:r>
        <w:rPr>
          <w:rFonts w:ascii="Times New Roman" w:hAnsi="Times New Roman" w:eastAsia="黑体"/>
          <w:b/>
          <w:bCs/>
          <w:sz w:val="28"/>
          <w:szCs w:val="28"/>
        </w:rPr>
        <w:t xml:space="preserve"> </w:t>
      </w:r>
      <w:r>
        <w:rPr>
          <w:rFonts w:hint="eastAsia" w:ascii="Times New Roman" w:hAnsi="Times New Roman" w:eastAsia="黑体"/>
          <w:b/>
          <w:bCs/>
          <w:sz w:val="28"/>
          <w:szCs w:val="28"/>
          <w:lang w:val="en-US" w:eastAsia="zh-CN"/>
        </w:rPr>
        <w:t>昆明市残疾人联合会</w:t>
      </w:r>
    </w:p>
    <w:p>
      <w:pPr>
        <w:adjustRightInd w:val="0"/>
        <w:snapToGrid w:val="0"/>
        <w:spacing w:line="360" w:lineRule="auto"/>
        <w:ind w:left="1260" w:leftChars="600"/>
        <w:rPr>
          <w:rFonts w:hint="default" w:ascii="Times New Roman" w:hAnsi="Times New Roman" w:eastAsia="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217805</wp:posOffset>
                </wp:positionV>
                <wp:extent cx="3141345" cy="444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314134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35pt;margin-top:17.15pt;height:0.35pt;width:247.35pt;z-index:251663360;mso-width-relative:page;mso-height-relative:page;" filled="f" stroked="t" coordsize="21600,21600" o:gfxdata="UEsDBAoAAAAAAIdO4kAAAAAAAAAAAAAAAAAEAAAAZHJzL1BLAwQUAAAACACHTuJAWca+f9gAAAAJ&#10;AQAADwAAAGRycy9kb3ducmV2LnhtbE2PwU7DMBBE70j8g7VI3KjdNiRVGqcHJBAHFIkCdzfeJoF4&#10;HWI3af+e5QTH2RnNvil2Z9eLCcfQedKwXCgQSLW3HTUa3t8e7zYgQjRkTe8JNVwwwK68vipMbv1M&#10;rzjtYyO4hEJuNLQxDrmUoW7RmbDwAxJ7Rz86E1mOjbSjmbnc9XKlVCqd6Yg/tGbAhxbrr/3Jafim&#10;7PKRyGnzWVUxfXp+aQirWevbm6Xagoh4jn9h+MVndCiZ6eBPZIPoNawyxVuihnWyBsGBLE0yEAc+&#10;3CuQZSH/Lyh/AFBLAwQUAAAACACHTuJA735QGQQCAAD5AwAADgAAAGRycy9lMm9Eb2MueG1srVO9&#10;jhMxEO6ReAfLPdkkl0OwyuaKhKNBEImf3vHPriX/yePLJi/BCyBRARVHdT1PA8djMPaGAEeTAhfW&#10;2DPzzXyfx/OLnTVkKyNo7xo6GY0pkY57oV3b0NevLh88ogQSc4IZ72RD9xLoxeL+vXkfajn1nTdC&#10;RoIgDuo+NLRLKdRVBbyTlsHIB+nQqXy0LOExtpWIrEd0a6rpePyw6n0UIXouAfB2NTjpATGeAuiV&#10;0lyuPL+y0qUBNUrDElKCTgegi9KtUpKnF0qBTMQ0FJmmsmMRtDd5rxZzVreRhU7zQwvslBbucLJM&#10;Oyx6hFqxxMhV1P9AWc2jB6/SiHtbDUSKIshiMr6jzcuOBVm4oNQQjqLD/4Plz7frSLRo6JQSxyw+&#10;+O27m+9vP95+uf724ebH1/fZ/vyJTLNUfYAaM5ZuHQ8nCOuYee9UtEQZHd7gTBUlkBvZFaH3R6Hl&#10;LhGOl2eT2eRsdk4JR99shhbCVQNKRgsR0lPpLclGQyFFptsuLb1z+KI+DhXY9hmkIfFXQk42jvQN&#10;fXw+zfgMJ1ThZKBpA7IE15buwBstLrUxOQNiu1maSLYsT0lZh4b+CstFVgy6Ia64chirO8nEEydI&#10;2gfUz+G3obkFKwUlRuIvy1aJTEybUyJRC+NQkiz4IHG2Nl7si/LlHieiiHaY3jxyf55L9u8fu/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a+f9gAAAAJAQAADwAAAAAAAAABACAAAAAiAAAAZHJz&#10;L2Rvd25yZXYueG1sUEsBAhQAFAAAAAgAh07iQO9+UBkEAgAA+QMAAA4AAAAAAAAAAQAgAAAAJwEA&#10;AGRycy9lMm9Eb2MueG1sUEsFBgAAAAAGAAYAWQEAAJ0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w:t>
      </w:r>
      <w:r>
        <w:rPr>
          <w:rFonts w:ascii="Times New Roman" w:hAnsi="Times New Roman" w:eastAsia="黑体"/>
          <w:b/>
          <w:bCs/>
          <w:sz w:val="28"/>
          <w:szCs w:val="28"/>
        </w:rPr>
        <w:t xml:space="preserve"> </w:t>
      </w:r>
      <w:r>
        <w:rPr>
          <w:rFonts w:hint="eastAsia" w:ascii="Times New Roman" w:hAnsi="Times New Roman" w:eastAsia="黑体"/>
          <w:b/>
          <w:bCs/>
          <w:sz w:val="28"/>
          <w:szCs w:val="28"/>
          <w:lang w:val="en-US" w:eastAsia="zh-CN"/>
        </w:rPr>
        <w:t>残疾人职业技能培训及就业服务经费</w:t>
      </w:r>
    </w:p>
    <w:p>
      <w:pPr>
        <w:adjustRightInd w:val="0"/>
        <w:snapToGrid w:val="0"/>
        <w:spacing w:line="360" w:lineRule="auto"/>
        <w:ind w:left="1260" w:leftChars="600"/>
        <w:rPr>
          <w:rFonts w:hint="default" w:ascii="Times New Roman" w:hAnsi="Times New Roman" w:eastAsia="黑体"/>
          <w:b/>
          <w:bCs/>
          <w:sz w:val="28"/>
          <w:szCs w:val="28"/>
          <w:lang w:val="en-US" w:eastAsia="zh-CN"/>
        </w:rPr>
      </w:pPr>
      <w:r>
        <w:rPr>
          <w:rFonts w:ascii="Times New Roman" w:hAnsi="Times New Roman" w:eastAsia="黑体" w:cs="黑体"/>
          <w:b/>
          <w:bCs/>
          <w:sz w:val="28"/>
          <w:szCs w:val="28"/>
        </w:rPr>
        <mc:AlternateContent>
          <mc:Choice Requires="wps">
            <w:drawing>
              <wp:anchor distT="0" distB="0" distL="114300" distR="114300" simplePos="0" relativeHeight="251664384" behindDoc="0" locked="0" layoutInCell="1" allowOverlap="1">
                <wp:simplePos x="0" y="0"/>
                <wp:positionH relativeFrom="column">
                  <wp:posOffset>2069465</wp:posOffset>
                </wp:positionH>
                <wp:positionV relativeFrom="paragraph">
                  <wp:posOffset>213995</wp:posOffset>
                </wp:positionV>
                <wp:extent cx="2113280" cy="952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11328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2.95pt;margin-top:16.85pt;height:0.75pt;width:166.4pt;z-index:251664384;mso-width-relative:page;mso-height-relative:page;" filled="f" stroked="t" coordsize="21600,21600" o:gfxdata="UEsDBAoAAAAAAIdO4kAAAAAAAAAAAAAAAAAEAAAAZHJzL1BLAwQUAAAACACHTuJACarbiNgAAAAJ&#10;AQAADwAAAGRycy9kb3ducmV2LnhtbE2PQU/DMAyF70j7D5EncUEsaaeOrTSdpkkcOLJN4po1pi00&#10;TtWk69ivx5zg9uz39Py52F5dJy44hNaThmShQCBV3rZUazgdXx7XIEI0ZE3nCTV8Y4BtObsrTG79&#10;RG94OcRacAmF3GhoYuxzKUPVoDNh4Xsk9j784EzkcailHczE5a6TqVIr6UxLfKExPe4brL4Oo9OA&#10;YcwStdu4+vR6mx7e09vn1B+1vp8n6hlExGv8C8MvPqNDyUxnP5INotOwTLMNR1ksn0BwYJWtWZx5&#10;kaUgy0L+/6D8AVBLAwQUAAAACACHTuJAg5tygfwBAADvAwAADgAAAGRycy9lMm9Eb2MueG1srVPN&#10;jtMwEL4j8Q6W7zRt2UVL1HQPLcsFwUrAA0wdJ7HkP3m8TfsSvAASJ+AEe9o7TwPLYzB2QheWSw/k&#10;4Iw9M9/M93m8ON8ZzbYyoHK24rPJlDNphauVbSv+9s3FozPOMIKtQTsrK76XyM+XDx8sel/Kueuc&#10;rmVgBGKx7H3Fuxh9WRQoOmkAJ85LS87GBQORtqEt6gA9oRtdzKfTJ0XvQu2DExKRTteDk4+I4RhA&#10;1zRKyLUTV0baOKAGqSESJeyUR77M3TaNFPFV06CMTFecmMa8UhGyN2ktlgso2wC+U2JsAY5p4R4n&#10;A8pS0QPUGiKwq6D+gTJKBIeuiRPhTDEQyYoQi9n0njavO/AycyGp0R9Ex/8HK15uLwNTdcVPOLNg&#10;6MJv39/8ePfp9vrr9483P799SPaXz+wkSdV7LCljZS/DuEN/GRLvXRNM+hMjtsvy7g/yyl1kgg7n&#10;s9nj+RkpL8j39HR+miCLu1wfMD6XzrBkVBxjANV2ceWspXt0YZYVhu0LjEPi74RUWFvWj6hMAM1l&#10;Q/NApYwnbmjbnItOq/pCaZ0yMLSblQ5sC2k28jc29FdYKrIG7Ia47EphUHYS6me2ZnHvSTVLj4Wn&#10;FoysOdOS3laycmQEpY+JJC20JUmSzIOwydq4ep/1zuc0B1m0cWbToP25z9l37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mq24jYAAAACQEAAA8AAAAAAAAAAQAgAAAAIgAAAGRycy9kb3ducmV2&#10;LnhtbFBLAQIUABQAAAAIAIdO4kCDm3KB/AEAAO8DAAAOAAAAAAAAAAEAIAAAACcBAABkcnMvZTJv&#10;RG9jLnhtbFBLBQYAAAAABgAGAFkBAACV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绩效自评日期：</w:t>
      </w:r>
      <w:r>
        <w:rPr>
          <w:rFonts w:ascii="Times New Roman" w:hAnsi="Times New Roman" w:eastAsia="黑体"/>
          <w:b/>
          <w:bCs/>
          <w:sz w:val="28"/>
          <w:szCs w:val="28"/>
        </w:rPr>
        <w:t xml:space="preserve"> </w:t>
      </w:r>
      <w:r>
        <w:rPr>
          <w:rFonts w:hint="eastAsia" w:ascii="Times New Roman" w:hAnsi="Times New Roman" w:eastAsia="黑体"/>
          <w:b/>
          <w:bCs/>
          <w:sz w:val="28"/>
          <w:szCs w:val="28"/>
          <w:lang w:val="en-US" w:eastAsia="zh-CN"/>
        </w:rPr>
        <w:t>2023年5月</w:t>
      </w: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lang w:val="en-US" w:eastAsia="zh-CN"/>
        </w:rPr>
        <w:t>23</w:t>
      </w:r>
      <w:r>
        <w:rPr>
          <w:rFonts w:hint="eastAsia" w:ascii="Times New Roman" w:hAnsi="Times New Roman" w:eastAsia="黑体" w:cs="黑体"/>
          <w:b/>
          <w:bCs/>
          <w:sz w:val="28"/>
          <w:szCs w:val="28"/>
        </w:rPr>
        <w:t>年</w:t>
      </w:r>
      <w:r>
        <w:rPr>
          <w:rFonts w:hint="eastAsia" w:ascii="Times New Roman" w:hAnsi="Times New Roman" w:eastAsia="黑体"/>
          <w:b/>
          <w:bCs/>
          <w:sz w:val="28"/>
          <w:szCs w:val="28"/>
          <w:lang w:val="en-US" w:eastAsia="zh-CN"/>
        </w:rPr>
        <w:t>5</w:t>
      </w:r>
      <w:r>
        <w:rPr>
          <w:rFonts w:hint="eastAsia" w:ascii="Times New Roman" w:hAnsi="Times New Roman" w:eastAsia="黑体" w:cs="黑体"/>
          <w:b/>
          <w:bCs/>
          <w:sz w:val="28"/>
          <w:szCs w:val="28"/>
        </w:rPr>
        <w:t>月</w:t>
      </w: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仿宋_GB2312"/>
          <w:b/>
          <w:bCs/>
          <w:sz w:val="28"/>
          <w:szCs w:val="28"/>
        </w:rPr>
      </w:pPr>
    </w:p>
    <w:p>
      <w:pPr>
        <w:widowControl/>
        <w:jc w:val="left"/>
        <w:rPr>
          <w:rFonts w:ascii="Times New Roman" w:hAnsi="Times New Roman" w:eastAsia="仿宋_GB2312"/>
          <w:b/>
          <w:bCs/>
          <w:sz w:val="28"/>
          <w:szCs w:val="28"/>
        </w:rPr>
        <w:sectPr>
          <w:footerReference r:id="rId4" w:type="first"/>
          <w:footerReference r:id="rId3" w:type="default"/>
          <w:pgSz w:w="11906" w:h="16838"/>
          <w:pgMar w:top="2098" w:right="1531" w:bottom="1984" w:left="1531" w:header="851" w:footer="992" w:gutter="0"/>
          <w:cols w:space="720" w:num="1"/>
          <w:titlePg/>
          <w:docGrid w:type="lines" w:linePitch="312" w:charSpace="0"/>
        </w:sectPr>
      </w:pPr>
    </w:p>
    <w:p>
      <w:pPr>
        <w:jc w:val="center"/>
        <w:rPr>
          <w:rFonts w:ascii="方正小标宋简体" w:hAnsi="方正小标宋简体" w:eastAsia="方正小标宋简体" w:cs="方正小标宋简体"/>
          <w:sz w:val="44"/>
          <w:szCs w:val="44"/>
          <w:lang w:val="zh-TW" w:eastAsia="zh-TW"/>
        </w:rPr>
      </w:pPr>
      <w:bookmarkStart w:id="0" w:name="_Toc2080"/>
      <w:bookmarkStart w:id="1" w:name="_Toc29042"/>
      <w:r>
        <w:rPr>
          <w:rFonts w:hint="eastAsia" w:ascii="方正小标宋简体" w:hAnsi="方正小标宋简体" w:eastAsia="方正小标宋简体" w:cs="方正小标宋简体"/>
          <w:sz w:val="44"/>
          <w:szCs w:val="44"/>
          <w:lang w:val="zh-TW" w:eastAsia="zh-TW"/>
        </w:rPr>
        <w:t>评价小组成员</w:t>
      </w:r>
    </w:p>
    <w:tbl>
      <w:tblPr>
        <w:tblStyle w:val="8"/>
        <w:tblpPr w:leftFromText="180" w:rightFromText="180" w:vertAnchor="text" w:horzAnchor="margin" w:tblpXSpec="center" w:tblpY="72"/>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533"/>
        <w:gridCol w:w="2907"/>
        <w:gridCol w:w="197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73" w:type="dxa"/>
            <w:noWrap w:val="0"/>
            <w:vAlign w:val="center"/>
          </w:tcPr>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评价小组</w:t>
            </w:r>
          </w:p>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机构职位</w:t>
            </w:r>
          </w:p>
        </w:tc>
        <w:tc>
          <w:tcPr>
            <w:tcW w:w="1533" w:type="dxa"/>
            <w:noWrap w:val="0"/>
            <w:vAlign w:val="center"/>
          </w:tcPr>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姓名</w:t>
            </w:r>
          </w:p>
        </w:tc>
        <w:tc>
          <w:tcPr>
            <w:tcW w:w="2907" w:type="dxa"/>
            <w:noWrap w:val="0"/>
            <w:vAlign w:val="center"/>
          </w:tcPr>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职务/职称</w:t>
            </w:r>
          </w:p>
        </w:tc>
        <w:tc>
          <w:tcPr>
            <w:tcW w:w="1977" w:type="dxa"/>
            <w:noWrap w:val="0"/>
            <w:vAlign w:val="center"/>
          </w:tcPr>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所属</w:t>
            </w:r>
          </w:p>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单位/处室</w:t>
            </w:r>
          </w:p>
        </w:tc>
        <w:tc>
          <w:tcPr>
            <w:tcW w:w="1577" w:type="dxa"/>
            <w:noWrap w:val="0"/>
            <w:vAlign w:val="center"/>
          </w:tcPr>
          <w:p>
            <w:pPr>
              <w:pStyle w:val="11"/>
              <w:widowControl w:val="0"/>
              <w:spacing w:after="0" w:line="0" w:lineRule="atLeast"/>
              <w:jc w:val="center"/>
              <w:rPr>
                <w:rFonts w:ascii="Arial Narrow" w:hAnsi="Arial Narrow" w:eastAsia="仿宋_GB2312" w:cs="黑体"/>
                <w:b/>
                <w:color w:val="auto"/>
                <w:kern w:val="2"/>
                <w:sz w:val="32"/>
                <w:szCs w:val="32"/>
                <w:lang w:val="zh-TW"/>
              </w:rPr>
            </w:pPr>
            <w:r>
              <w:rPr>
                <w:rFonts w:ascii="Arial Narrow" w:hAnsi="Arial Narrow" w:eastAsia="仿宋_GB2312" w:cs="黑体"/>
                <w:b/>
                <w:color w:val="auto"/>
                <w:kern w:val="2"/>
                <w:sz w:val="32"/>
                <w:szCs w:val="32"/>
                <w:lang w:val="zh-TW"/>
              </w:rPr>
              <w:t>签</w:t>
            </w:r>
            <w:r>
              <w:rPr>
                <w:rFonts w:hint="eastAsia" w:ascii="Arial Narrow" w:hAnsi="Arial Narrow" w:eastAsia="仿宋_GB2312" w:cs="黑体"/>
                <w:b/>
                <w:color w:val="auto"/>
                <w:kern w:val="2"/>
                <w:sz w:val="32"/>
                <w:szCs w:val="32"/>
                <w:lang w:val="zh-TW"/>
              </w:rPr>
              <w:t xml:space="preserve">  </w:t>
            </w:r>
            <w:r>
              <w:rPr>
                <w:rFonts w:ascii="Arial Narrow" w:hAnsi="Arial Narrow" w:eastAsia="仿宋_GB2312" w:cs="黑体"/>
                <w:b/>
                <w:color w:val="auto"/>
                <w:kern w:val="2"/>
                <w:sz w:val="32"/>
                <w:szCs w:val="32"/>
                <w:lang w:val="zh-TW"/>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73" w:type="dxa"/>
            <w:noWrap w:val="0"/>
            <w:vAlign w:val="center"/>
          </w:tcPr>
          <w:p>
            <w:pPr>
              <w:pStyle w:val="11"/>
              <w:widowControl w:val="0"/>
              <w:spacing w:after="0" w:line="24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组长</w:t>
            </w:r>
          </w:p>
        </w:tc>
        <w:tc>
          <w:tcPr>
            <w:tcW w:w="1533" w:type="dxa"/>
            <w:noWrap w:val="0"/>
            <w:vAlign w:val="center"/>
          </w:tcPr>
          <w:p>
            <w:pPr>
              <w:pStyle w:val="11"/>
              <w:widowControl w:val="0"/>
              <w:spacing w:after="0" w:line="24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邱</w:t>
            </w:r>
            <w:r>
              <w:rPr>
                <w:rFonts w:hint="eastAsia" w:ascii="Arial Narrow" w:hAnsi="Arial Narrow" w:eastAsia="仿宋_GB2312" w:cs="黑体"/>
                <w:color w:val="auto"/>
                <w:kern w:val="2"/>
                <w:sz w:val="32"/>
                <w:szCs w:val="32"/>
                <w:lang w:val="zh-TW"/>
              </w:rPr>
              <w:t xml:space="preserve">  </w:t>
            </w:r>
            <w:r>
              <w:rPr>
                <w:rFonts w:hint="eastAsia" w:ascii="Arial Narrow" w:hAnsi="Arial Narrow" w:eastAsia="仿宋_GB2312" w:cs="黑体"/>
                <w:color w:val="auto"/>
                <w:kern w:val="2"/>
                <w:sz w:val="32"/>
                <w:szCs w:val="32"/>
                <w:lang w:val="zh-TW" w:eastAsia="zh-TW"/>
              </w:rPr>
              <w:t>峰</w:t>
            </w:r>
          </w:p>
        </w:tc>
        <w:tc>
          <w:tcPr>
            <w:tcW w:w="2907" w:type="dxa"/>
            <w:noWrap w:val="0"/>
            <w:vAlign w:val="center"/>
          </w:tcPr>
          <w:p>
            <w:pPr>
              <w:pStyle w:val="11"/>
              <w:widowControl w:val="0"/>
              <w:spacing w:after="0" w:line="24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中心负责人</w:t>
            </w:r>
          </w:p>
        </w:tc>
        <w:tc>
          <w:tcPr>
            <w:tcW w:w="1977" w:type="dxa"/>
            <w:noWrap w:val="0"/>
            <w:vAlign w:val="center"/>
          </w:tcPr>
          <w:p>
            <w:pPr>
              <w:pStyle w:val="11"/>
              <w:widowControl w:val="0"/>
              <w:spacing w:after="0" w:line="240" w:lineRule="auto"/>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中心</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7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副组长</w:t>
            </w:r>
          </w:p>
        </w:tc>
        <w:tc>
          <w:tcPr>
            <w:tcW w:w="153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李晓阳</w:t>
            </w:r>
          </w:p>
        </w:tc>
        <w:tc>
          <w:tcPr>
            <w:tcW w:w="2907" w:type="dxa"/>
            <w:noWrap w:val="0"/>
            <w:vAlign w:val="center"/>
          </w:tcPr>
          <w:p>
            <w:pPr>
              <w:pStyle w:val="11"/>
              <w:widowControl w:val="0"/>
              <w:spacing w:after="0" w:line="360" w:lineRule="auto"/>
              <w:jc w:val="center"/>
              <w:rPr>
                <w:rFonts w:ascii="Arial Narrow" w:hAnsi="Arial Narrow" w:eastAsia="PMingLiU" w:cs="黑体"/>
                <w:color w:val="auto"/>
                <w:kern w:val="2"/>
                <w:sz w:val="32"/>
                <w:szCs w:val="32"/>
                <w:lang w:val="zh-TW" w:eastAsia="zh-TW"/>
              </w:rPr>
            </w:pPr>
            <w:r>
              <w:rPr>
                <w:rFonts w:hint="eastAsia" w:ascii="Arial Narrow" w:hAnsi="Arial Narrow" w:eastAsia="仿宋_GB2312" w:cs="黑体"/>
                <w:color w:val="auto"/>
                <w:kern w:val="2"/>
                <w:sz w:val="32"/>
                <w:szCs w:val="32"/>
                <w:lang w:val="zh-TW"/>
              </w:rPr>
              <w:t>综合处处长</w:t>
            </w:r>
          </w:p>
        </w:tc>
        <w:tc>
          <w:tcPr>
            <w:tcW w:w="1977" w:type="dxa"/>
            <w:noWrap w:val="0"/>
            <w:vAlign w:val="center"/>
          </w:tcPr>
          <w:p>
            <w:pPr>
              <w:pStyle w:val="11"/>
              <w:widowControl w:val="0"/>
              <w:spacing w:after="0" w:line="360" w:lineRule="auto"/>
              <w:jc w:val="center"/>
              <w:rPr>
                <w:rFonts w:ascii="Arial Narrow" w:hAnsi="Arial Narrow" w:eastAsia="PMingLiU" w:cs="黑体"/>
                <w:color w:val="auto"/>
                <w:kern w:val="2"/>
                <w:sz w:val="32"/>
                <w:szCs w:val="32"/>
                <w:lang w:val="zh-TW" w:eastAsia="zh-TW"/>
              </w:rPr>
            </w:pPr>
            <w:r>
              <w:rPr>
                <w:rFonts w:hint="eastAsia" w:ascii="Arial Narrow" w:hAnsi="Arial Narrow" w:eastAsia="仿宋_GB2312" w:cs="黑体"/>
                <w:color w:val="auto"/>
                <w:kern w:val="2"/>
                <w:sz w:val="32"/>
                <w:szCs w:val="32"/>
                <w:lang w:val="zh-TW"/>
              </w:rPr>
              <w:t>综合处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7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ascii="Arial Narrow" w:hAnsi="Arial Narrow" w:eastAsia="仿宋_GB2312" w:cs="黑体"/>
                <w:color w:val="auto"/>
                <w:kern w:val="2"/>
                <w:sz w:val="32"/>
                <w:szCs w:val="32"/>
                <w:lang w:val="zh-TW" w:eastAsia="zh-TW"/>
              </w:rPr>
              <w:t>成员</w:t>
            </w:r>
          </w:p>
        </w:tc>
        <w:tc>
          <w:tcPr>
            <w:tcW w:w="153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王燕萍</w:t>
            </w:r>
          </w:p>
        </w:tc>
        <w:tc>
          <w:tcPr>
            <w:tcW w:w="290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就培处处长</w:t>
            </w:r>
          </w:p>
        </w:tc>
        <w:tc>
          <w:tcPr>
            <w:tcW w:w="197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就培处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刘永芳</w:t>
            </w:r>
          </w:p>
        </w:tc>
        <w:tc>
          <w:tcPr>
            <w:tcW w:w="290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信息化处处长</w:t>
            </w:r>
          </w:p>
        </w:tc>
        <w:tc>
          <w:tcPr>
            <w:tcW w:w="197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信息化处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rPr>
            </w:pPr>
            <w:r>
              <w:rPr>
                <w:rFonts w:hint="eastAsia" w:ascii="Arial Narrow" w:hAnsi="Arial Narrow" w:eastAsia="仿宋_GB2312" w:cs="黑体"/>
                <w:color w:val="auto"/>
                <w:kern w:val="2"/>
                <w:sz w:val="32"/>
                <w:szCs w:val="32"/>
              </w:rPr>
              <w:t>韩</w:t>
            </w:r>
            <w:r>
              <w:rPr>
                <w:rFonts w:hint="eastAsia" w:ascii="Arial Narrow" w:hAnsi="Arial Narrow" w:eastAsia="仿宋_GB2312" w:cs="黑体"/>
                <w:color w:val="auto"/>
                <w:kern w:val="2"/>
                <w:sz w:val="32"/>
                <w:szCs w:val="32"/>
                <w:lang w:val="en-US" w:eastAsia="zh-CN"/>
              </w:rPr>
              <w:t xml:space="preserve">  </w:t>
            </w:r>
            <w:r>
              <w:rPr>
                <w:rFonts w:hint="eastAsia" w:ascii="Arial Narrow" w:hAnsi="Arial Narrow" w:eastAsia="仿宋_GB2312" w:cs="黑体"/>
                <w:color w:val="auto"/>
                <w:kern w:val="2"/>
                <w:sz w:val="32"/>
                <w:szCs w:val="32"/>
              </w:rPr>
              <w:t>丽</w:t>
            </w:r>
          </w:p>
        </w:tc>
        <w:tc>
          <w:tcPr>
            <w:tcW w:w="2907" w:type="dxa"/>
            <w:noWrap w:val="0"/>
            <w:vAlign w:val="center"/>
          </w:tcPr>
          <w:p>
            <w:pPr>
              <w:pStyle w:val="11"/>
              <w:widowControl w:val="0"/>
              <w:spacing w:after="0" w:line="360" w:lineRule="auto"/>
              <w:jc w:val="center"/>
              <w:rPr>
                <w:rFonts w:hint="eastAsia" w:ascii="Arial Narrow" w:hAnsi="Arial Narrow" w:eastAsia="仿宋_GB2312" w:cs="黑体"/>
                <w:color w:val="auto"/>
                <w:kern w:val="2"/>
                <w:sz w:val="32"/>
                <w:szCs w:val="32"/>
                <w:lang w:val="zh-TW" w:eastAsia="zh-CN"/>
              </w:rPr>
            </w:pPr>
            <w:r>
              <w:rPr>
                <w:rFonts w:hint="eastAsia" w:ascii="Arial Narrow" w:hAnsi="Arial Narrow" w:eastAsia="仿宋_GB2312" w:cs="黑体"/>
                <w:color w:val="auto"/>
                <w:kern w:val="2"/>
                <w:sz w:val="32"/>
                <w:szCs w:val="32"/>
                <w:lang w:val="zh-TW"/>
              </w:rPr>
              <w:t>无障碍处</w:t>
            </w:r>
            <w:r>
              <w:rPr>
                <w:rFonts w:hint="eastAsia" w:ascii="Arial Narrow" w:hAnsi="Arial Narrow" w:eastAsia="仿宋_GB2312" w:cs="黑体"/>
                <w:color w:val="auto"/>
                <w:kern w:val="2"/>
                <w:sz w:val="32"/>
                <w:szCs w:val="32"/>
                <w:lang w:val="en-US" w:eastAsia="zh-CN"/>
              </w:rPr>
              <w:t>工作人员</w:t>
            </w:r>
          </w:p>
        </w:tc>
        <w:tc>
          <w:tcPr>
            <w:tcW w:w="197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无障碍处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杨晓岚</w:t>
            </w:r>
          </w:p>
        </w:tc>
        <w:tc>
          <w:tcPr>
            <w:tcW w:w="290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规范化处负责人</w:t>
            </w:r>
          </w:p>
        </w:tc>
        <w:tc>
          <w:tcPr>
            <w:tcW w:w="1977" w:type="dxa"/>
            <w:noWrap w:val="0"/>
            <w:vAlign w:val="center"/>
          </w:tcPr>
          <w:p>
            <w:pPr>
              <w:pStyle w:val="11"/>
              <w:widowControl w:val="0"/>
              <w:spacing w:after="0" w:line="360" w:lineRule="auto"/>
              <w:jc w:val="center"/>
              <w:rPr>
                <w:rFonts w:ascii="Arial Narrow" w:hAnsi="Arial Narrow" w:eastAsia="PMingLiU" w:cs="黑体"/>
                <w:color w:val="auto"/>
                <w:kern w:val="2"/>
                <w:sz w:val="32"/>
                <w:szCs w:val="32"/>
                <w:lang w:val="zh-TW" w:eastAsia="zh-TW"/>
              </w:rPr>
            </w:pPr>
            <w:r>
              <w:rPr>
                <w:rFonts w:hint="eastAsia" w:ascii="Arial Narrow" w:hAnsi="Arial Narrow" w:eastAsia="仿宋_GB2312" w:cs="黑体"/>
                <w:color w:val="auto"/>
                <w:kern w:val="2"/>
                <w:sz w:val="32"/>
                <w:szCs w:val="32"/>
                <w:lang w:val="zh-TW"/>
              </w:rPr>
              <w:t>规范化处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成员</w:t>
            </w:r>
          </w:p>
        </w:tc>
        <w:tc>
          <w:tcPr>
            <w:tcW w:w="1533"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eastAsia="zh-TW"/>
              </w:rPr>
              <w:t>罗凯薇</w:t>
            </w:r>
          </w:p>
        </w:tc>
        <w:tc>
          <w:tcPr>
            <w:tcW w:w="2907" w:type="dxa"/>
            <w:noWrap w:val="0"/>
            <w:vAlign w:val="center"/>
          </w:tcPr>
          <w:p>
            <w:pPr>
              <w:pStyle w:val="11"/>
              <w:widowControl w:val="0"/>
              <w:spacing w:after="0" w:line="360" w:lineRule="auto"/>
              <w:jc w:val="center"/>
              <w:rPr>
                <w:rFonts w:hint="default" w:ascii="Arial Narrow" w:hAnsi="Arial Narrow" w:eastAsia="仿宋_GB2312" w:cs="黑体"/>
                <w:color w:val="auto"/>
                <w:kern w:val="2"/>
                <w:sz w:val="32"/>
                <w:szCs w:val="32"/>
                <w:lang w:val="en-US" w:eastAsia="zh-CN"/>
              </w:rPr>
            </w:pPr>
            <w:r>
              <w:rPr>
                <w:rFonts w:hint="eastAsia" w:ascii="Arial Narrow" w:hAnsi="Arial Narrow" w:eastAsia="仿宋_GB2312" w:cs="黑体"/>
                <w:color w:val="auto"/>
                <w:kern w:val="2"/>
                <w:sz w:val="32"/>
                <w:szCs w:val="32"/>
                <w:lang w:val="en-US" w:eastAsia="zh-CN"/>
              </w:rPr>
              <w:t>综合处工作人员</w:t>
            </w:r>
          </w:p>
        </w:tc>
        <w:tc>
          <w:tcPr>
            <w:tcW w:w="1977" w:type="dxa"/>
            <w:noWrap w:val="0"/>
            <w:vAlign w:val="center"/>
          </w:tcPr>
          <w:p>
            <w:pPr>
              <w:pStyle w:val="11"/>
              <w:widowControl w:val="0"/>
              <w:spacing w:after="0" w:line="360" w:lineRule="auto"/>
              <w:jc w:val="center"/>
              <w:rPr>
                <w:rFonts w:ascii="Arial Narrow" w:hAnsi="Arial Narrow" w:eastAsia="仿宋_GB2312" w:cs="黑体"/>
                <w:color w:val="auto"/>
                <w:kern w:val="2"/>
                <w:sz w:val="32"/>
                <w:szCs w:val="32"/>
                <w:lang w:val="zh-TW" w:eastAsia="zh-TW"/>
              </w:rPr>
            </w:pPr>
            <w:r>
              <w:rPr>
                <w:rFonts w:hint="eastAsia" w:ascii="Arial Narrow" w:hAnsi="Arial Narrow" w:eastAsia="仿宋_GB2312" w:cs="黑体"/>
                <w:color w:val="auto"/>
                <w:kern w:val="2"/>
                <w:sz w:val="32"/>
                <w:szCs w:val="32"/>
                <w:lang w:val="zh-TW"/>
              </w:rPr>
              <w:t>综合处</w:t>
            </w:r>
          </w:p>
        </w:tc>
        <w:tc>
          <w:tcPr>
            <w:tcW w:w="1577" w:type="dxa"/>
            <w:noWrap w:val="0"/>
            <w:vAlign w:val="top"/>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9767" w:type="dxa"/>
            <w:gridSpan w:val="5"/>
            <w:noWrap w:val="0"/>
            <w:vAlign w:val="top"/>
          </w:tcPr>
          <w:p>
            <w:pPr>
              <w:pStyle w:val="11"/>
              <w:widowControl w:val="0"/>
              <w:spacing w:after="0" w:line="360" w:lineRule="auto"/>
              <w:jc w:val="both"/>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报告撰写人（签字）：</w:t>
            </w:r>
          </w:p>
          <w:p>
            <w:pPr>
              <w:pStyle w:val="11"/>
              <w:widowControl w:val="0"/>
              <w:spacing w:after="0" w:line="360" w:lineRule="auto"/>
              <w:jc w:val="both"/>
              <w:rPr>
                <w:rFonts w:ascii="Arial Narrow" w:hAnsi="Arial Narrow" w:eastAsia="仿宋_GB2312" w:cs="黑体"/>
                <w:color w:val="auto"/>
                <w:kern w:val="2"/>
                <w:sz w:val="32"/>
                <w:szCs w:val="32"/>
                <w:lang w:val="zh-TW"/>
              </w:rPr>
            </w:pPr>
          </w:p>
          <w:p>
            <w:pPr>
              <w:pStyle w:val="11"/>
              <w:widowControl w:val="0"/>
              <w:spacing w:after="0" w:line="360" w:lineRule="auto"/>
              <w:jc w:val="both"/>
              <w:rPr>
                <w:rFonts w:ascii="Arial Narrow" w:hAnsi="Arial Narrow" w:eastAsia="仿宋_GB2312" w:cs="黑体"/>
                <w:color w:val="auto"/>
                <w:kern w:val="2"/>
                <w:sz w:val="32"/>
                <w:szCs w:val="32"/>
                <w:lang w:val="zh-TW"/>
              </w:rPr>
            </w:pPr>
          </w:p>
          <w:p>
            <w:pPr>
              <w:pStyle w:val="11"/>
              <w:widowControl w:val="0"/>
              <w:wordWrap w:val="0"/>
              <w:spacing w:after="0" w:line="360" w:lineRule="auto"/>
              <w:jc w:val="right"/>
              <w:rPr>
                <w:rFonts w:ascii="Arial Narrow" w:hAnsi="Arial Narrow" w:eastAsia="仿宋_GB2312" w:cs="黑体"/>
                <w:color w:val="auto"/>
                <w:kern w:val="2"/>
                <w:sz w:val="32"/>
                <w:szCs w:val="32"/>
                <w:lang w:val="zh-TW"/>
              </w:rPr>
            </w:pPr>
          </w:p>
          <w:p>
            <w:pPr>
              <w:pStyle w:val="11"/>
              <w:widowControl w:val="0"/>
              <w:spacing w:after="0" w:line="360" w:lineRule="auto"/>
              <w:ind w:right="480"/>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 xml:space="preserve">                                      </w:t>
            </w:r>
            <w:r>
              <w:rPr>
                <w:rFonts w:ascii="Arial Narrow" w:hAnsi="Arial Narrow" w:eastAsia="仿宋_GB2312" w:cs="黑体"/>
                <w:color w:val="auto"/>
                <w:kern w:val="2"/>
                <w:sz w:val="32"/>
                <w:szCs w:val="32"/>
                <w:lang w:val="zh-TW"/>
              </w:rPr>
              <w:t xml:space="preserve">年 </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月 </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9767" w:type="dxa"/>
            <w:gridSpan w:val="5"/>
            <w:noWrap w:val="0"/>
            <w:vAlign w:val="top"/>
          </w:tcPr>
          <w:p>
            <w:pPr>
              <w:pStyle w:val="11"/>
              <w:widowControl w:val="0"/>
              <w:spacing w:after="0" w:line="360" w:lineRule="auto"/>
              <w:jc w:val="both"/>
              <w:rPr>
                <w:rFonts w:ascii="Arial Narrow" w:hAnsi="Arial Narrow" w:eastAsia="仿宋_GB2312" w:cs="黑体"/>
                <w:color w:val="auto"/>
                <w:kern w:val="2"/>
                <w:sz w:val="32"/>
                <w:szCs w:val="32"/>
                <w:lang w:val="zh-TW"/>
              </w:rPr>
            </w:pPr>
            <w:r>
              <w:rPr>
                <w:rFonts w:ascii="Arial Narrow" w:hAnsi="Arial Narrow" w:eastAsia="仿宋_GB2312" w:cs="黑体"/>
                <w:color w:val="auto"/>
                <w:kern w:val="2"/>
                <w:sz w:val="32"/>
                <w:szCs w:val="32"/>
                <w:lang w:val="zh-TW"/>
              </w:rPr>
              <w:t>评价工作负责人（签字）：</w:t>
            </w:r>
          </w:p>
          <w:p>
            <w:pPr>
              <w:pStyle w:val="11"/>
              <w:widowControl w:val="0"/>
              <w:spacing w:after="0" w:line="360" w:lineRule="auto"/>
              <w:jc w:val="both"/>
              <w:rPr>
                <w:rFonts w:ascii="Arial Narrow" w:hAnsi="Arial Narrow" w:eastAsia="仿宋_GB2312" w:cs="黑体"/>
                <w:color w:val="auto"/>
                <w:kern w:val="2"/>
                <w:sz w:val="32"/>
                <w:szCs w:val="32"/>
                <w:lang w:val="zh-TW"/>
              </w:rPr>
            </w:pPr>
          </w:p>
          <w:p>
            <w:pPr>
              <w:pStyle w:val="11"/>
              <w:widowControl w:val="0"/>
              <w:spacing w:after="0" w:line="360" w:lineRule="auto"/>
              <w:jc w:val="both"/>
              <w:rPr>
                <w:rFonts w:ascii="Arial Narrow" w:hAnsi="Arial Narrow" w:eastAsia="仿宋_GB2312" w:cs="黑体"/>
                <w:color w:val="auto"/>
                <w:kern w:val="2"/>
                <w:sz w:val="32"/>
                <w:szCs w:val="32"/>
                <w:lang w:val="zh-TW"/>
              </w:rPr>
            </w:pPr>
          </w:p>
          <w:p>
            <w:pPr>
              <w:pStyle w:val="11"/>
              <w:widowControl w:val="0"/>
              <w:wordWrap w:val="0"/>
              <w:spacing w:after="0" w:line="360" w:lineRule="auto"/>
              <w:jc w:val="right"/>
              <w:rPr>
                <w:rFonts w:ascii="Arial Narrow" w:hAnsi="Arial Narrow" w:eastAsia="仿宋_GB2312" w:cs="黑体"/>
                <w:color w:val="auto"/>
                <w:kern w:val="2"/>
                <w:sz w:val="32"/>
                <w:szCs w:val="32"/>
                <w:lang w:val="zh-TW"/>
              </w:rPr>
            </w:pPr>
          </w:p>
          <w:p>
            <w:pPr>
              <w:pStyle w:val="11"/>
              <w:widowControl w:val="0"/>
              <w:spacing w:after="0" w:line="360" w:lineRule="auto"/>
              <w:ind w:right="480"/>
              <w:jc w:val="center"/>
              <w:rPr>
                <w:rFonts w:ascii="Arial Narrow" w:hAnsi="Arial Narrow" w:eastAsia="仿宋_GB2312" w:cs="黑体"/>
                <w:color w:val="auto"/>
                <w:kern w:val="2"/>
                <w:sz w:val="32"/>
                <w:szCs w:val="32"/>
                <w:lang w:val="zh-TW"/>
              </w:rPr>
            </w:pPr>
            <w:r>
              <w:rPr>
                <w:rFonts w:hint="eastAsia" w:ascii="Arial Narrow" w:hAnsi="Arial Narrow" w:eastAsia="仿宋_GB2312" w:cs="黑体"/>
                <w:color w:val="auto"/>
                <w:kern w:val="2"/>
                <w:sz w:val="32"/>
                <w:szCs w:val="32"/>
                <w:lang w:val="zh-TW"/>
              </w:rPr>
              <w:t xml:space="preserve">                                     </w:t>
            </w:r>
            <w:r>
              <w:rPr>
                <w:rFonts w:ascii="Arial Narrow" w:hAnsi="Arial Narrow" w:eastAsia="仿宋_GB2312" w:cs="黑体"/>
                <w:color w:val="auto"/>
                <w:kern w:val="2"/>
                <w:sz w:val="32"/>
                <w:szCs w:val="32"/>
                <w:lang w:val="zh-TW"/>
              </w:rPr>
              <w:t>年</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月</w:t>
            </w:r>
            <w:r>
              <w:rPr>
                <w:rFonts w:hint="eastAsia" w:ascii="Arial Narrow" w:hAnsi="Arial Narrow" w:eastAsia="仿宋_GB2312" w:cs="黑体"/>
                <w:color w:val="auto"/>
                <w:kern w:val="2"/>
                <w:sz w:val="32"/>
                <w:szCs w:val="32"/>
              </w:rPr>
              <w:t xml:space="preserve">  </w:t>
            </w:r>
            <w:r>
              <w:rPr>
                <w:rFonts w:ascii="Arial Narrow" w:hAnsi="Arial Narrow" w:eastAsia="仿宋_GB2312" w:cs="黑体"/>
                <w:color w:val="auto"/>
                <w:kern w:val="2"/>
                <w:sz w:val="32"/>
                <w:szCs w:val="32"/>
                <w:lang w:val="zh-TW"/>
              </w:rPr>
              <w:t xml:space="preserve">  日</w:t>
            </w:r>
          </w:p>
        </w:tc>
      </w:tr>
    </w:tbl>
    <w:p>
      <w:pPr>
        <w:jc w:val="left"/>
        <w:rPr>
          <w:rFonts w:ascii="Arial Narrow" w:hAnsi="Arial Narrow" w:eastAsia="仿宋_GB2312"/>
          <w:b/>
          <w:bCs/>
          <w:sz w:val="28"/>
          <w:szCs w:val="28"/>
        </w:rPr>
        <w:sectPr>
          <w:pgSz w:w="11906" w:h="16838"/>
          <w:pgMar w:top="2098" w:right="1531" w:bottom="1984" w:left="1531" w:header="851" w:footer="992" w:gutter="0"/>
          <w:pgNumType w:fmt="numberInDash"/>
          <w:cols w:space="720" w:num="1"/>
          <w:titlePg/>
          <w:docGrid w:type="lines" w:linePitch="312" w:charSpace="0"/>
        </w:sectPr>
      </w:pPr>
    </w:p>
    <w:p>
      <w:pPr>
        <w:tabs>
          <w:tab w:val="left" w:pos="420"/>
        </w:tabs>
        <w:adjustRightInd/>
        <w:jc w:val="center"/>
        <w:rPr>
          <w:rFonts w:ascii="Arial Narrow" w:hAnsi="Arial Narrow" w:eastAsia="黑体"/>
          <w:bCs/>
          <w:kern w:val="44"/>
          <w:sz w:val="36"/>
          <w:szCs w:val="36"/>
          <w:lang w:val="zh-CN"/>
        </w:rPr>
      </w:pPr>
      <w:r>
        <w:rPr>
          <w:rFonts w:ascii="Arial Narrow" w:hAnsi="Arial Narrow" w:eastAsia="黑体"/>
          <w:bCs/>
          <w:kern w:val="44"/>
          <w:sz w:val="36"/>
          <w:szCs w:val="36"/>
          <w:lang w:val="zh-CN"/>
        </w:rPr>
        <w:t>目   录</w:t>
      </w:r>
      <w:bookmarkEnd w:id="0"/>
      <w:bookmarkEnd w:id="1"/>
    </w:p>
    <w:p>
      <w:pPr>
        <w:pStyle w:val="18"/>
        <w:tabs>
          <w:tab w:val="right" w:leader="dot" w:pos="8844"/>
        </w:tabs>
        <w:rPr>
          <w:rFonts w:hint="eastAsia" w:ascii="仿宋_GB2312" w:hAnsi="宋体" w:eastAsia="仿宋_GB2312" w:cs="宋体"/>
          <w:kern w:val="0"/>
          <w:sz w:val="22"/>
          <w:szCs w:val="22"/>
          <w:lang w:val="en-US" w:eastAsia="zh-CN" w:bidi="ar-SA"/>
        </w:rPr>
      </w:pPr>
      <w:r>
        <w:rPr>
          <w:rFonts w:hint="eastAsia" w:ascii="仿宋_GB2312" w:hAnsi="宋体" w:eastAsia="仿宋_GB2312" w:cs="宋体"/>
          <w:kern w:val="0"/>
          <w:sz w:val="22"/>
          <w:szCs w:val="22"/>
          <w:lang w:val="en-US" w:eastAsia="zh-CN" w:bidi="ar-SA"/>
        </w:rPr>
        <w:fldChar w:fldCharType="begin"/>
      </w:r>
      <w:r>
        <w:rPr>
          <w:rFonts w:hint="eastAsia" w:ascii="仿宋_GB2312" w:hAnsi="宋体" w:eastAsia="仿宋_GB2312" w:cs="宋体"/>
          <w:kern w:val="0"/>
          <w:sz w:val="22"/>
          <w:szCs w:val="22"/>
          <w:lang w:val="en-US" w:eastAsia="zh-CN" w:bidi="ar-SA"/>
        </w:rPr>
        <w:instrText xml:space="preserve">TOC \o "1-2" \h \u </w:instrText>
      </w:r>
      <w:r>
        <w:rPr>
          <w:rFonts w:hint="eastAsia" w:ascii="仿宋_GB2312" w:hAnsi="宋体" w:eastAsia="仿宋_GB2312" w:cs="宋体"/>
          <w:kern w:val="0"/>
          <w:sz w:val="22"/>
          <w:szCs w:val="22"/>
          <w:lang w:val="en-US" w:eastAsia="zh-CN" w:bidi="ar-SA"/>
        </w:rPr>
        <w:fldChar w:fldCharType="separate"/>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_Toc28712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zh-CN" w:eastAsia="zh-CN" w:bidi="ar-SA"/>
        </w:rPr>
        <w:t>摘要</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p>
    <w:p>
      <w:pPr>
        <w:pStyle w:val="18"/>
        <w:tabs>
          <w:tab w:val="right" w:leader="dot" w:pos="8844"/>
        </w:tabs>
        <w:spacing w:line="360" w:lineRule="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_Toc20737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一、项目基本情况</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3</w:t>
      </w:r>
      <w:r>
        <w:rPr>
          <w:rFonts w:hint="default" w:ascii="仿宋_GB2312" w:hAnsi="宋体" w:eastAsia="仿宋_GB2312" w:cs="宋体"/>
          <w:kern w:val="0"/>
          <w:sz w:val="24"/>
          <w:szCs w:val="24"/>
          <w:lang w:val="en-US" w:eastAsia="zh-CN" w:bidi="ar-SA"/>
        </w:rPr>
        <w:fldChar w:fldCharType="end"/>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_Toc27367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（一）项目概况</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3</w:t>
      </w:r>
      <w:r>
        <w:rPr>
          <w:rFonts w:hint="default" w:ascii="仿宋_GB2312" w:hAnsi="宋体" w:eastAsia="仿宋_GB2312" w:cs="宋体"/>
          <w:kern w:val="0"/>
          <w:sz w:val="24"/>
          <w:szCs w:val="24"/>
          <w:lang w:val="en-US" w:eastAsia="zh-CN" w:bidi="ar-SA"/>
        </w:rPr>
        <w:fldChar w:fldCharType="end"/>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_Toc27056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（二）绩效目标</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6</w:t>
      </w:r>
      <w:r>
        <w:rPr>
          <w:rFonts w:hint="default" w:ascii="仿宋_GB2312" w:hAnsi="宋体" w:eastAsia="仿宋_GB2312" w:cs="宋体"/>
          <w:kern w:val="0"/>
          <w:sz w:val="24"/>
          <w:szCs w:val="24"/>
          <w:lang w:val="en-US" w:eastAsia="zh-CN" w:bidi="ar-SA"/>
        </w:rPr>
        <w:fldChar w:fldCharType="end"/>
      </w:r>
    </w:p>
    <w:p>
      <w:pPr>
        <w:pStyle w:val="18"/>
        <w:tabs>
          <w:tab w:val="right" w:leader="dot" w:pos="8844"/>
        </w:tabs>
        <w:spacing w:line="360" w:lineRule="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_Toc23960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二、绩效评价工作情况</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8</w:t>
      </w:r>
      <w:r>
        <w:rPr>
          <w:rFonts w:hint="default" w:ascii="仿宋_GB2312" w:hAnsi="宋体" w:eastAsia="仿宋_GB2312" w:cs="宋体"/>
          <w:kern w:val="0"/>
          <w:sz w:val="24"/>
          <w:szCs w:val="24"/>
          <w:lang w:val="en-US" w:eastAsia="zh-CN" w:bidi="ar-SA"/>
        </w:rPr>
        <w:fldChar w:fldCharType="end"/>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_Toc28678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（一）绩效评价的目的</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8</w:t>
      </w:r>
      <w:r>
        <w:rPr>
          <w:rFonts w:hint="default" w:ascii="仿宋_GB2312" w:hAnsi="宋体" w:eastAsia="仿宋_GB2312" w:cs="宋体"/>
          <w:kern w:val="0"/>
          <w:sz w:val="24"/>
          <w:szCs w:val="24"/>
          <w:lang w:val="en-US" w:eastAsia="zh-CN" w:bidi="ar-SA"/>
        </w:rPr>
        <w:fldChar w:fldCharType="end"/>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_Toc29047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（二）绩效评价工作方案制定过程</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8</w:t>
      </w:r>
      <w:r>
        <w:rPr>
          <w:rFonts w:hint="default" w:ascii="仿宋_GB2312" w:hAnsi="宋体" w:eastAsia="仿宋_GB2312" w:cs="宋体"/>
          <w:kern w:val="0"/>
          <w:sz w:val="24"/>
          <w:szCs w:val="24"/>
          <w:lang w:val="en-US" w:eastAsia="zh-CN" w:bidi="ar-SA"/>
        </w:rPr>
        <w:fldChar w:fldCharType="end"/>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_Toc31075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（三）绩效评价原则、评价方法</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9</w:t>
      </w:r>
      <w:r>
        <w:rPr>
          <w:rFonts w:hint="default" w:ascii="仿宋_GB2312" w:hAnsi="宋体" w:eastAsia="仿宋_GB2312" w:cs="宋体"/>
          <w:kern w:val="0"/>
          <w:sz w:val="24"/>
          <w:szCs w:val="24"/>
          <w:lang w:val="en-US" w:eastAsia="zh-CN" w:bidi="ar-SA"/>
        </w:rPr>
        <w:fldChar w:fldCharType="end"/>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_Toc22930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（四）绩效评价实施过程</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default" w:ascii="仿宋_GB2312" w:hAnsi="宋体" w:eastAsia="仿宋_GB2312" w:cs="宋体"/>
          <w:kern w:val="0"/>
          <w:sz w:val="24"/>
          <w:szCs w:val="24"/>
          <w:lang w:val="en-US" w:eastAsia="zh-CN" w:bidi="ar-SA"/>
        </w:rPr>
        <w:t>0</w:t>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_Toc15135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（五）本次绩效评价的局限性</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default" w:ascii="仿宋_GB2312" w:hAnsi="宋体" w:eastAsia="仿宋_GB2312" w:cs="宋体"/>
          <w:kern w:val="0"/>
          <w:sz w:val="24"/>
          <w:szCs w:val="24"/>
          <w:lang w:val="en-US" w:eastAsia="zh-CN" w:bidi="ar-SA"/>
        </w:rPr>
        <w:t>1</w:t>
      </w:r>
    </w:p>
    <w:p>
      <w:pPr>
        <w:pStyle w:val="18"/>
        <w:tabs>
          <w:tab w:val="right" w:leader="dot" w:pos="8844"/>
        </w:tabs>
        <w:spacing w:line="360" w:lineRule="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_Toc4696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zh-CN" w:eastAsia="zh-CN" w:bidi="ar-SA"/>
        </w:rPr>
        <w:t>三、评价结论和绩效分析</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default" w:ascii="仿宋_GB2312" w:hAnsi="宋体" w:eastAsia="仿宋_GB2312" w:cs="宋体"/>
          <w:kern w:val="0"/>
          <w:sz w:val="24"/>
          <w:szCs w:val="24"/>
          <w:lang w:val="en-US" w:eastAsia="zh-CN" w:bidi="ar-SA"/>
        </w:rPr>
        <w:t>1</w:t>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_Toc21118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（一）评价结论</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default" w:ascii="仿宋_GB2312" w:hAnsi="宋体" w:eastAsia="仿宋_GB2312" w:cs="宋体"/>
          <w:kern w:val="0"/>
          <w:sz w:val="24"/>
          <w:szCs w:val="24"/>
          <w:lang w:val="en-US" w:eastAsia="zh-CN" w:bidi="ar-SA"/>
        </w:rPr>
        <w:t>1</w:t>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_Toc21577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（二）具体绩效分析</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default" w:ascii="仿宋_GB2312" w:hAnsi="宋体" w:eastAsia="仿宋_GB2312" w:cs="宋体"/>
          <w:kern w:val="0"/>
          <w:sz w:val="24"/>
          <w:szCs w:val="24"/>
          <w:lang w:val="en-US" w:eastAsia="zh-CN" w:bidi="ar-SA"/>
        </w:rPr>
        <w:t>2</w:t>
      </w:r>
    </w:p>
    <w:p>
      <w:pPr>
        <w:pStyle w:val="18"/>
        <w:tabs>
          <w:tab w:val="right" w:leader="dot" w:pos="8844"/>
        </w:tabs>
        <w:spacing w:line="360" w:lineRule="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_Toc22802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zh-CN" w:eastAsia="zh-CN" w:bidi="ar-SA"/>
        </w:rPr>
        <w:t>四、成本效益分析</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eastAsia" w:ascii="仿宋_GB2312" w:hAnsi="宋体" w:eastAsia="仿宋_GB2312" w:cs="宋体"/>
          <w:kern w:val="0"/>
          <w:sz w:val="24"/>
          <w:szCs w:val="24"/>
          <w:lang w:val="en-US" w:eastAsia="zh-CN" w:bidi="ar-SA"/>
        </w:rPr>
        <w:t>6</w:t>
      </w:r>
    </w:p>
    <w:p>
      <w:pPr>
        <w:pStyle w:val="18"/>
        <w:tabs>
          <w:tab w:val="right" w:leader="dot" w:pos="8844"/>
        </w:tabs>
        <w:spacing w:line="360" w:lineRule="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_Toc15928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zh-CN" w:eastAsia="zh-CN" w:bidi="ar-SA"/>
        </w:rPr>
        <w:t>五、主要经验及做法、存在的问题和建议</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eastAsia" w:ascii="仿宋_GB2312" w:hAnsi="宋体" w:eastAsia="仿宋_GB2312" w:cs="宋体"/>
          <w:kern w:val="0"/>
          <w:sz w:val="24"/>
          <w:szCs w:val="24"/>
          <w:lang w:val="en-US" w:eastAsia="zh-CN" w:bidi="ar-SA"/>
        </w:rPr>
        <w:t>6</w:t>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_Toc28329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（一）主要经验及做法</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eastAsia" w:ascii="仿宋_GB2312" w:hAnsi="宋体" w:eastAsia="仿宋_GB2312" w:cs="宋体"/>
          <w:kern w:val="0"/>
          <w:sz w:val="24"/>
          <w:szCs w:val="24"/>
          <w:lang w:val="en-US" w:eastAsia="zh-CN" w:bidi="ar-SA"/>
        </w:rPr>
        <w:t>6</w:t>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_Toc19866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（二）存在的问题</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eastAsia" w:ascii="仿宋_GB2312" w:hAnsi="宋体" w:eastAsia="仿宋_GB2312" w:cs="宋体"/>
          <w:kern w:val="0"/>
          <w:sz w:val="24"/>
          <w:szCs w:val="24"/>
          <w:lang w:val="en-US" w:eastAsia="zh-CN" w:bidi="ar-SA"/>
        </w:rPr>
        <w:t>7</w:t>
      </w:r>
    </w:p>
    <w:p>
      <w:pPr>
        <w:pStyle w:val="19"/>
        <w:tabs>
          <w:tab w:val="right" w:leader="dot" w:pos="8844"/>
        </w:tabs>
        <w:spacing w:line="360" w:lineRule="auto"/>
        <w:ind w:left="0" w:leftChars="0" w:firstLine="0" w:firstLineChars="0"/>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fldChar w:fldCharType="begin"/>
      </w:r>
      <w:r>
        <w:rPr>
          <w:rFonts w:hint="default" w:ascii="仿宋_GB2312" w:hAnsi="宋体" w:eastAsia="仿宋_GB2312" w:cs="宋体"/>
          <w:kern w:val="0"/>
          <w:sz w:val="24"/>
          <w:szCs w:val="24"/>
          <w:lang w:val="en-US" w:eastAsia="zh-CN" w:bidi="ar-SA"/>
        </w:rPr>
        <w:instrText xml:space="preserve"> HYPERLINK \l _Toc28709 </w:instrText>
      </w:r>
      <w:r>
        <w:rPr>
          <w:rFonts w:hint="default" w:ascii="仿宋_GB2312" w:hAnsi="宋体" w:eastAsia="仿宋_GB2312" w:cs="宋体"/>
          <w:kern w:val="0"/>
          <w:sz w:val="24"/>
          <w:szCs w:val="24"/>
          <w:lang w:val="en-US" w:eastAsia="zh-CN" w:bidi="ar-SA"/>
        </w:rPr>
        <w:fldChar w:fldCharType="separate"/>
      </w:r>
      <w:r>
        <w:rPr>
          <w:rFonts w:hint="default" w:ascii="仿宋_GB2312" w:hAnsi="宋体" w:eastAsia="仿宋_GB2312" w:cs="宋体"/>
          <w:kern w:val="0"/>
          <w:sz w:val="24"/>
          <w:szCs w:val="24"/>
          <w:lang w:val="en-US" w:eastAsia="zh-CN" w:bidi="ar-SA"/>
        </w:rPr>
        <w:t>（三）改进措施及建议</w:t>
      </w:r>
      <w:r>
        <w:rPr>
          <w:rFonts w:hint="default" w:ascii="仿宋_GB2312" w:hAnsi="宋体" w:eastAsia="仿宋_GB2312" w:cs="宋体"/>
          <w:kern w:val="0"/>
          <w:sz w:val="24"/>
          <w:szCs w:val="24"/>
          <w:lang w:val="en-US" w:eastAsia="zh-CN" w:bidi="ar-SA"/>
        </w:rPr>
        <w:tab/>
      </w:r>
      <w:r>
        <w:rPr>
          <w:rFonts w:hint="default"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fldChar w:fldCharType="end"/>
      </w:r>
      <w:r>
        <w:rPr>
          <w:rFonts w:hint="eastAsia" w:ascii="仿宋_GB2312" w:hAnsi="宋体" w:eastAsia="仿宋_GB2312" w:cs="宋体"/>
          <w:kern w:val="0"/>
          <w:sz w:val="24"/>
          <w:szCs w:val="24"/>
          <w:lang w:val="en-US" w:eastAsia="zh-CN" w:bidi="ar-SA"/>
        </w:rPr>
        <w:t>7</w:t>
      </w:r>
    </w:p>
    <w:p>
      <w:pPr>
        <w:spacing w:line="440" w:lineRule="exact"/>
        <w:ind w:firstLine="440" w:firstLineChars="200"/>
        <w:jc w:val="left"/>
        <w:rPr>
          <w:rFonts w:hint="eastAsia" w:ascii="黑体" w:hAnsi="黑体" w:eastAsia="黑体"/>
          <w:szCs w:val="32"/>
        </w:rPr>
      </w:pPr>
      <w:r>
        <w:rPr>
          <w:rFonts w:hint="eastAsia" w:ascii="仿宋_GB2312" w:hAnsi="宋体" w:eastAsia="仿宋_GB2312" w:cs="宋体"/>
          <w:kern w:val="0"/>
          <w:sz w:val="22"/>
          <w:szCs w:val="22"/>
          <w:lang w:val="en-US" w:eastAsia="zh-CN" w:bidi="ar-SA"/>
        </w:rPr>
        <w:fldChar w:fldCharType="end"/>
      </w:r>
    </w:p>
    <w:p>
      <w:pPr>
        <w:spacing w:line="440" w:lineRule="exact"/>
        <w:ind w:firstLine="420" w:firstLineChars="200"/>
        <w:jc w:val="left"/>
        <w:rPr>
          <w:rFonts w:hint="eastAsia" w:ascii="黑体" w:hAnsi="黑体" w:eastAsia="黑体"/>
          <w:szCs w:val="32"/>
        </w:rPr>
      </w:pPr>
    </w:p>
    <w:p>
      <w:pPr>
        <w:spacing w:line="540" w:lineRule="exact"/>
        <w:rPr>
          <w:rFonts w:ascii="方正小标宋_GBK" w:hAnsi="黑体" w:eastAsia="方正小标宋_GBK"/>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2"/>
          <w:sz w:val="44"/>
          <w:szCs w:val="44"/>
          <w:lang w:val="zh-CN" w:eastAsia="zh-CN"/>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_GBK" w:hAnsi="黑体" w:eastAsia="方正小标宋_GBK"/>
          <w:szCs w:val="32"/>
        </w:rPr>
      </w:pPr>
      <w:r>
        <w:rPr>
          <w:rFonts w:hint="eastAsia" w:ascii="方正小标宋简体" w:hAnsi="方正小标宋简体" w:eastAsia="方正小标宋简体" w:cs="方正小标宋简体"/>
          <w:kern w:val="2"/>
          <w:sz w:val="44"/>
          <w:szCs w:val="44"/>
          <w:lang w:val="zh-CN" w:eastAsia="zh-CN"/>
        </w:rPr>
        <w:t>摘要</w:t>
      </w:r>
    </w:p>
    <w:p>
      <w:pPr>
        <w:keepNext w:val="0"/>
        <w:keepLines w:val="0"/>
        <w:pageBreakBefore w:val="0"/>
        <w:numPr>
          <w:ilvl w:val="0"/>
          <w:numId w:val="0"/>
        </w:numPr>
        <w:kinsoku/>
        <w:wordWrap/>
        <w:topLinePunct w:val="0"/>
        <w:bidi w:val="0"/>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（一）项目立项背景及目的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就业是最大的民生，也是经济发展最基本的支撑，也是脱贫攻坚的重要工作。202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年昆明市继续开展残疾人职业技能培训及就业服务工作，积极推动就业服务工作稳步开展，推动昆明市残疾人就业服务提升，促进昆明市残疾人就业状况不断改善。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（二）预算收支总额、预算执行情况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Calibri" w:eastAsia="仿宋_GB2312" w:cs="Times New Roman"/>
          <w:kern w:val="2"/>
          <w:sz w:val="32"/>
          <w:szCs w:val="32"/>
          <w:lang w:val="en-US" w:eastAsia="zh-CN"/>
        </w:rPr>
        <w:t>昆明市残疾人综合服务中心202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年职业技能培训及就业服务项目经费预算批复经费</w:t>
      </w:r>
      <w:r>
        <w:rPr>
          <w:rFonts w:hint="eastAsia" w:ascii="仿宋_GB2312" w:eastAsia="仿宋_GB2312" w:cs="Times New Roman"/>
          <w:kern w:val="2"/>
          <w:sz w:val="32"/>
          <w:szCs w:val="32"/>
          <w:lang w:val="en-US" w:eastAsia="zh-CN"/>
        </w:rPr>
        <w:t>97.361</w:t>
      </w:r>
      <w:r>
        <w:rPr>
          <w:rFonts w:hint="eastAsia" w:ascii="仿宋_GB2312" w:hAnsi="Calibri" w:eastAsia="仿宋_GB2312" w:cs="Times New Roman"/>
          <w:kern w:val="2"/>
          <w:sz w:val="32"/>
          <w:szCs w:val="32"/>
          <w:lang w:val="en-US" w:eastAsia="zh-CN"/>
        </w:rPr>
        <w:t>万元，</w:t>
      </w:r>
      <w:r>
        <w:rPr>
          <w:rFonts w:hint="eastAsia" w:ascii="仿宋_GB2312" w:hAnsi="仿宋" w:eastAsia="仿宋_GB2312" w:cs="仿宋_GB2312"/>
          <w:b w:val="0"/>
          <w:bCs w:val="0"/>
          <w:kern w:val="2"/>
          <w:sz w:val="32"/>
          <w:szCs w:val="32"/>
          <w:lang w:val="en-US" w:eastAsia="zh-CN" w:bidi="ar-SA"/>
        </w:rPr>
        <w:t>合计使用经费82.050854万元，合计结余经费15.310146万元。</w:t>
      </w:r>
    </w:p>
    <w:p>
      <w:pPr>
        <w:keepNext w:val="0"/>
        <w:keepLines w:val="0"/>
        <w:pageBreakBefore w:val="0"/>
        <w:kinsoku/>
        <w:wordWrap/>
        <w:topLinePunct w:val="0"/>
        <w:bidi w:val="0"/>
        <w:snapToGrid/>
        <w:spacing w:line="560" w:lineRule="exact"/>
        <w:ind w:firstLine="64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预算执行情况：1.开展残疾人就业服务机构工作人员业务能力提升培训使用经费</w:t>
      </w:r>
      <w:r>
        <w:rPr>
          <w:rFonts w:hint="default" w:ascii="仿宋_GB2312" w:hAnsi="宋体" w:eastAsia="仿宋_GB2312" w:cs="仿宋_GB2312"/>
          <w:color w:val="000000"/>
          <w:kern w:val="2"/>
          <w:sz w:val="32"/>
          <w:szCs w:val="32"/>
          <w:lang w:eastAsia="zh-Hans" w:bidi="zh-CN"/>
        </w:rPr>
        <w:t>0</w:t>
      </w:r>
      <w:r>
        <w:rPr>
          <w:rFonts w:hint="eastAsia" w:ascii="仿宋_GB2312" w:hAnsi="宋体" w:eastAsia="仿宋_GB2312" w:cs="仿宋_GB2312"/>
          <w:color w:val="000000"/>
          <w:kern w:val="2"/>
          <w:sz w:val="32"/>
          <w:szCs w:val="32"/>
          <w:lang w:val="en-US" w:eastAsia="zh-Hans" w:bidi="zh-CN"/>
        </w:rPr>
        <w:t>.</w:t>
      </w:r>
      <w:r>
        <w:rPr>
          <w:rFonts w:hint="default" w:ascii="仿宋_GB2312" w:hAnsi="宋体" w:eastAsia="仿宋_GB2312" w:cs="仿宋_GB2312"/>
          <w:color w:val="000000"/>
          <w:kern w:val="2"/>
          <w:sz w:val="32"/>
          <w:szCs w:val="32"/>
          <w:lang w:eastAsia="zh-Hans" w:bidi="zh-CN"/>
        </w:rPr>
        <w:t>9735</w:t>
      </w:r>
      <w:r>
        <w:rPr>
          <w:rFonts w:hint="eastAsia" w:ascii="仿宋_GB2312" w:hAnsi="仿宋" w:eastAsia="仿宋_GB2312" w:cs="仿宋_GB2312"/>
          <w:b w:val="0"/>
          <w:bCs w:val="0"/>
          <w:kern w:val="2"/>
          <w:sz w:val="32"/>
          <w:szCs w:val="32"/>
          <w:lang w:val="en-US" w:eastAsia="zh-CN" w:bidi="ar-SA"/>
        </w:rPr>
        <w:t>万元。2.组织开展残疾人职业技能培训使用经费63.6万元。2.开展第六届昆明市残疾人职业技能竞赛、竞赛选拔工作、参加省级竞赛合计使用经费</w:t>
      </w:r>
      <w:r>
        <w:rPr>
          <w:rFonts w:hint="default" w:ascii="仿宋_GB2312" w:hAnsi="宋体" w:eastAsia="仿宋_GB2312" w:cs="仿宋_GB2312"/>
          <w:color w:val="000000"/>
          <w:kern w:val="2"/>
          <w:sz w:val="32"/>
          <w:szCs w:val="32"/>
          <w:lang w:eastAsia="zh-CN" w:bidi="zh-CN"/>
        </w:rPr>
        <w:t>17</w:t>
      </w:r>
      <w:r>
        <w:rPr>
          <w:rFonts w:hint="eastAsia" w:ascii="仿宋_GB2312" w:hAnsi="宋体" w:eastAsia="仿宋_GB2312" w:cs="仿宋_GB2312"/>
          <w:color w:val="000000"/>
          <w:kern w:val="2"/>
          <w:sz w:val="32"/>
          <w:szCs w:val="32"/>
          <w:lang w:val="en-US" w:eastAsia="zh-Hans" w:bidi="zh-CN"/>
        </w:rPr>
        <w:t>.</w:t>
      </w:r>
      <w:r>
        <w:rPr>
          <w:rFonts w:hint="default" w:ascii="仿宋_GB2312" w:hAnsi="宋体" w:eastAsia="仿宋_GB2312" w:cs="仿宋_GB2312"/>
          <w:color w:val="000000"/>
          <w:kern w:val="2"/>
          <w:sz w:val="32"/>
          <w:szCs w:val="32"/>
          <w:lang w:eastAsia="zh-Hans" w:bidi="zh-CN"/>
        </w:rPr>
        <w:t>47</w:t>
      </w:r>
      <w:r>
        <w:rPr>
          <w:rFonts w:hint="eastAsia" w:ascii="仿宋_GB2312" w:hAnsi="宋体" w:eastAsia="仿宋_GB2312" w:cs="仿宋_GB2312"/>
          <w:color w:val="000000"/>
          <w:kern w:val="2"/>
          <w:sz w:val="32"/>
          <w:szCs w:val="32"/>
          <w:lang w:val="en-US" w:eastAsia="zh-Hans" w:bidi="zh-CN"/>
        </w:rPr>
        <w:t>7</w:t>
      </w:r>
      <w:r>
        <w:rPr>
          <w:rFonts w:hint="default" w:ascii="仿宋_GB2312" w:hAnsi="宋体" w:eastAsia="仿宋_GB2312" w:cs="仿宋_GB2312"/>
          <w:color w:val="000000"/>
          <w:kern w:val="2"/>
          <w:sz w:val="32"/>
          <w:szCs w:val="32"/>
          <w:lang w:eastAsia="zh-Hans" w:bidi="zh-CN"/>
        </w:rPr>
        <w:t>354</w:t>
      </w:r>
      <w:r>
        <w:rPr>
          <w:rFonts w:hint="eastAsia" w:ascii="仿宋_GB2312" w:hAnsi="仿宋" w:eastAsia="仿宋_GB2312" w:cs="仿宋_GB2312"/>
          <w:b w:val="0"/>
          <w:bCs w:val="0"/>
          <w:kern w:val="2"/>
          <w:sz w:val="32"/>
          <w:szCs w:val="32"/>
          <w:lang w:val="en-US" w:eastAsia="zh-CN" w:bidi="ar-SA"/>
        </w:rPr>
        <w:t>万元。</w:t>
      </w:r>
    </w:p>
    <w:p>
      <w:pPr>
        <w:keepNext w:val="0"/>
        <w:keepLines w:val="0"/>
        <w:pageBreakBefore w:val="0"/>
        <w:kinsoku/>
        <w:wordWrap/>
        <w:topLinePunct w:val="0"/>
        <w:bidi w:val="0"/>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sz w:val="32"/>
          <w:szCs w:val="32"/>
        </w:rPr>
        <w:t>评价结论</w:t>
      </w:r>
    </w:p>
    <w:p>
      <w:pPr>
        <w:keepNext w:val="0"/>
        <w:keepLines w:val="0"/>
        <w:pageBreakBefore w:val="0"/>
        <w:kinsoku/>
        <w:wordWrap/>
        <w:topLinePunct w:val="0"/>
        <w:bidi w:val="0"/>
        <w:snapToGrid/>
        <w:spacing w:line="560" w:lineRule="exact"/>
        <w:ind w:firstLine="640"/>
        <w:jc w:val="left"/>
        <w:textAlignment w:val="auto"/>
        <w:rPr>
          <w:rFonts w:hint="eastAsia" w:ascii="仿宋_GB2312" w:hAnsi="仿宋"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_GB2312"/>
          <w:b w:val="0"/>
          <w:bCs w:val="0"/>
          <w:color w:val="000000" w:themeColor="text1"/>
          <w:kern w:val="2"/>
          <w:sz w:val="32"/>
          <w:szCs w:val="32"/>
          <w:lang w:val="en-US" w:eastAsia="zh-CN" w:bidi="ar-SA"/>
          <w14:textFill>
            <w14:solidFill>
              <w14:schemeClr w14:val="tx1"/>
            </w14:solidFill>
          </w14:textFill>
        </w:rPr>
        <w:t>通过对市残疾人综合服务中心2022年度职业技能培训及就业服务项目支出决策、管理、绩效三个方面的四级指标进行评价、打分，最终自评得分92分，评定等级为优。</w:t>
      </w:r>
    </w:p>
    <w:p>
      <w:pPr>
        <w:keepNext w:val="0"/>
        <w:keepLines w:val="0"/>
        <w:pageBreakBefore w:val="0"/>
        <w:kinsoku/>
        <w:wordWrap/>
        <w:topLinePunct w:val="0"/>
        <w:bidi w:val="0"/>
        <w:snapToGrid/>
        <w:spacing w:line="560" w:lineRule="exact"/>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三、经验、问题和建议</w:t>
      </w:r>
    </w:p>
    <w:p>
      <w:pPr>
        <w:keepNext w:val="0"/>
        <w:keepLines w:val="0"/>
        <w:pageBreakBefore w:val="0"/>
        <w:kinsoku/>
        <w:wordWrap/>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主要经验及做法</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1.建立了“党政同责、一岗双责、齐抓共管”的工作体系</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2.各部门/各县区给予配合与支持</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sz w:val="32"/>
          <w:szCs w:val="32"/>
        </w:rPr>
      </w:pPr>
      <w:r>
        <w:rPr>
          <w:rFonts w:hint="eastAsia" w:ascii="仿宋_GB2312" w:hAnsi="Calibri" w:eastAsia="仿宋_GB2312" w:cs="Times New Roman"/>
          <w:kern w:val="2"/>
          <w:sz w:val="32"/>
          <w:szCs w:val="32"/>
          <w:lang w:val="en-US" w:eastAsia="zh-CN"/>
        </w:rPr>
        <w:t>3.探索资金管理、绩效管理与业务管理相结合的机制</w:t>
      </w:r>
      <w:r>
        <w:rPr>
          <w:rFonts w:hint="eastAsia" w:ascii="仿宋_GB2312" w:eastAsia="仿宋_GB2312" w:cs="Times New Roman"/>
          <w:kern w:val="2"/>
          <w:sz w:val="32"/>
          <w:szCs w:val="32"/>
          <w:lang w:val="en-US" w:eastAsia="zh-CN"/>
        </w:rPr>
        <w:t>。</w:t>
      </w:r>
    </w:p>
    <w:p>
      <w:pPr>
        <w:keepNext w:val="0"/>
        <w:keepLines w:val="0"/>
        <w:pageBreakBefore w:val="0"/>
        <w:kinsoku/>
        <w:wordWrap/>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）存在的问题</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sz w:val="32"/>
          <w:szCs w:val="32"/>
        </w:rPr>
      </w:pPr>
      <w:r>
        <w:rPr>
          <w:rFonts w:hint="eastAsia" w:ascii="仿宋_GB2312" w:hAnsi="Calibri" w:eastAsia="仿宋_GB2312" w:cs="Times New Roman"/>
          <w:kern w:val="2"/>
          <w:sz w:val="32"/>
          <w:szCs w:val="32"/>
          <w:lang w:val="en-US" w:eastAsia="zh-CN"/>
        </w:rPr>
        <w:t>预算申报准确性不足。202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年残疾人职业技能培训及就业服务项目预算申报金额为</w:t>
      </w:r>
      <w:r>
        <w:rPr>
          <w:rFonts w:hint="eastAsia" w:ascii="仿宋_GB2312" w:eastAsia="仿宋_GB2312" w:cs="Times New Roman"/>
          <w:kern w:val="2"/>
          <w:sz w:val="32"/>
          <w:szCs w:val="32"/>
          <w:lang w:val="en-US" w:eastAsia="zh-CN"/>
        </w:rPr>
        <w:t>97.361</w:t>
      </w:r>
      <w:r>
        <w:rPr>
          <w:rFonts w:hint="eastAsia" w:ascii="仿宋_GB2312" w:hAnsi="Calibri" w:eastAsia="仿宋_GB2312" w:cs="Times New Roman"/>
          <w:kern w:val="2"/>
          <w:sz w:val="32"/>
          <w:szCs w:val="32"/>
          <w:lang w:val="en-US" w:eastAsia="zh-CN"/>
        </w:rPr>
        <w:t>万元，实际支出</w:t>
      </w:r>
      <w:r>
        <w:rPr>
          <w:rFonts w:hint="eastAsia" w:ascii="仿宋_GB2312" w:hAnsi="仿宋" w:eastAsia="仿宋_GB2312" w:cs="仿宋_GB2312"/>
          <w:b w:val="0"/>
          <w:bCs w:val="0"/>
          <w:kern w:val="2"/>
          <w:sz w:val="32"/>
          <w:szCs w:val="32"/>
          <w:lang w:val="en-US" w:eastAsia="zh-CN" w:bidi="ar-SA"/>
        </w:rPr>
        <w:t>82.050854万元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84.28</w:t>
      </w:r>
      <w:r>
        <w:rPr>
          <w:rFonts w:hint="eastAsia" w:ascii="仿宋_GB2312" w:hAnsi="Calibri" w:eastAsia="仿宋_GB2312" w:cs="Times New Roman"/>
          <w:kern w:val="2"/>
          <w:sz w:val="32"/>
          <w:szCs w:val="32"/>
          <w:lang w:val="en-US" w:eastAsia="zh-CN"/>
        </w:rPr>
        <w:t>%。</w:t>
      </w:r>
    </w:p>
    <w:p>
      <w:pPr>
        <w:keepNext w:val="0"/>
        <w:keepLines w:val="0"/>
        <w:pageBreakBefore w:val="0"/>
        <w:kinsoku/>
        <w:wordWrap/>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改进措施及建议</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1.</w:t>
      </w:r>
      <w:r>
        <w:rPr>
          <w:rFonts w:hint="eastAsia" w:ascii="仿宋_GB2312" w:hAnsi="Calibri" w:eastAsia="仿宋_GB2312" w:cs="Times New Roman"/>
          <w:kern w:val="2"/>
          <w:sz w:val="32"/>
          <w:szCs w:val="32"/>
          <w:lang w:val="en-US" w:eastAsia="zh-CN"/>
        </w:rPr>
        <w:t>定期或者不定期查看各县（市）区残疾人职业技能培训和就业服务工作的发展情况</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提高项目绩效目标的申报水平，对项目绩效目标申报进一步细化、量化</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项目执行过程中，定期对项目的实施进度、目标实现情况、资金使用情况等进行监督管理</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4.</w:t>
      </w:r>
      <w:r>
        <w:rPr>
          <w:rFonts w:hint="eastAsia" w:ascii="仿宋_GB2312" w:hAnsi="Calibri" w:eastAsia="仿宋_GB2312" w:cs="Times New Roman"/>
          <w:kern w:val="2"/>
          <w:sz w:val="32"/>
          <w:szCs w:val="32"/>
          <w:lang w:val="en-US" w:eastAsia="zh-CN"/>
        </w:rPr>
        <w:t>项目实施完毕后，及时收集整理项目各类财务、业务相关资料，进行绩效评价</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5.</w:t>
      </w:r>
      <w:r>
        <w:rPr>
          <w:rFonts w:hint="eastAsia" w:ascii="仿宋_GB2312" w:hAnsi="Calibri" w:eastAsia="仿宋_GB2312" w:cs="Times New Roman"/>
          <w:kern w:val="2"/>
          <w:sz w:val="32"/>
          <w:szCs w:val="32"/>
          <w:lang w:val="en-US" w:eastAsia="zh-CN"/>
        </w:rPr>
        <w:t>绩效评价后，积极推进绩效监督、绩效审计和绩效问责</w:t>
      </w:r>
      <w:r>
        <w:rPr>
          <w:rFonts w:hint="eastAsia" w:ascii="仿宋_GB2312"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6.</w:t>
      </w:r>
      <w:r>
        <w:rPr>
          <w:rFonts w:hint="eastAsia" w:ascii="仿宋_GB2312" w:hAnsi="Calibri" w:eastAsia="仿宋_GB2312" w:cs="Times New Roman"/>
          <w:kern w:val="2"/>
          <w:sz w:val="32"/>
          <w:szCs w:val="32"/>
          <w:lang w:val="en-US" w:eastAsia="zh-CN"/>
        </w:rPr>
        <w:t>加强各基层残联、处室绩效管理人员的培训，提升他们的预算绩效管理知识结构和能力。</w:t>
      </w:r>
    </w:p>
    <w:p>
      <w:pPr>
        <w:pStyle w:val="4"/>
        <w:keepNext w:val="0"/>
        <w:keepLines w:val="0"/>
        <w:pageBreakBefore w:val="0"/>
        <w:numPr>
          <w:ilvl w:val="0"/>
          <w:numId w:val="0"/>
        </w:numPr>
        <w:kinsoku/>
        <w:wordWrap/>
        <w:bidi w:val="0"/>
        <w:snapToGrid/>
        <w:spacing w:line="560" w:lineRule="exact"/>
        <w:textAlignment w:val="auto"/>
        <w:rPr>
          <w:sz w:val="32"/>
          <w:szCs w:val="32"/>
        </w:rPr>
      </w:pPr>
    </w:p>
    <w:p>
      <w:pPr>
        <w:keepNext w:val="0"/>
        <w:keepLines w:val="0"/>
        <w:pageBreakBefore w:val="0"/>
        <w:kinsoku/>
        <w:wordWrap/>
        <w:bidi w:val="0"/>
        <w:snapToGrid/>
        <w:spacing w:line="560" w:lineRule="exact"/>
        <w:ind w:firstLine="640" w:firstLineChars="200"/>
        <w:jc w:val="left"/>
        <w:textAlignment w:val="auto"/>
        <w:rPr>
          <w:rFonts w:ascii="楷体" w:hAnsi="楷体" w:eastAsia="楷体"/>
          <w:sz w:val="32"/>
          <w:szCs w:val="32"/>
        </w:rPr>
      </w:pPr>
    </w:p>
    <w:p>
      <w:pPr>
        <w:pStyle w:val="4"/>
        <w:keepNext w:val="0"/>
        <w:keepLines w:val="0"/>
        <w:pageBreakBefore w:val="0"/>
        <w:kinsoku/>
        <w:wordWrap/>
        <w:bidi w:val="0"/>
        <w:snapToGrid/>
        <w:spacing w:line="560" w:lineRule="exact"/>
        <w:textAlignment w:val="auto"/>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2"/>
          <w:sz w:val="44"/>
          <w:szCs w:val="44"/>
          <w:lang w:val="en-US" w:eastAsia="zh-CN"/>
        </w:rPr>
      </w:pPr>
      <w:bookmarkStart w:id="22" w:name="_GoBack"/>
      <w:bookmarkEnd w:id="22"/>
      <w:r>
        <w:rPr>
          <w:rFonts w:hint="eastAsia" w:ascii="方正小标宋简体" w:hAnsi="方正小标宋简体" w:eastAsia="方正小标宋简体" w:cs="方正小标宋简体"/>
          <w:kern w:val="2"/>
          <w:sz w:val="44"/>
          <w:szCs w:val="44"/>
          <w:lang w:val="en-US" w:eastAsia="zh-CN"/>
        </w:rPr>
        <w:t>正文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昆明市残疾人综合服务中心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2022</w:t>
      </w:r>
      <w:r>
        <w:rPr>
          <w:rFonts w:hint="eastAsia" w:ascii="方正小标宋简体" w:hAnsi="方正小标宋简体" w:eastAsia="方正小标宋简体" w:cs="方正小标宋简体"/>
          <w:kern w:val="2"/>
          <w:sz w:val="44"/>
          <w:szCs w:val="44"/>
          <w:lang w:val="zh-CN" w:eastAsia="zh-CN"/>
        </w:rPr>
        <w:t>年残疾人职业技能培训</w:t>
      </w:r>
      <w:r>
        <w:rPr>
          <w:rFonts w:hint="eastAsia" w:ascii="方正小标宋简体" w:hAnsi="方正小标宋简体" w:eastAsia="方正小标宋简体" w:cs="方正小标宋简体"/>
          <w:kern w:val="2"/>
          <w:sz w:val="44"/>
          <w:szCs w:val="44"/>
          <w:lang w:val="en-US" w:eastAsia="zh-CN"/>
        </w:rPr>
        <w:t>及就业服务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44"/>
          <w:szCs w:val="44"/>
        </w:rPr>
      </w:pPr>
      <w:r>
        <w:rPr>
          <w:rFonts w:hint="eastAsia" w:ascii="方正小标宋简体" w:hAnsi="方正小标宋简体" w:eastAsia="方正小标宋简体" w:cs="方正小标宋简体"/>
          <w:kern w:val="2"/>
          <w:sz w:val="44"/>
          <w:szCs w:val="44"/>
          <w:lang w:val="en-US" w:eastAsia="zh-CN"/>
        </w:rPr>
        <w:t>经费</w:t>
      </w:r>
      <w:r>
        <w:rPr>
          <w:rFonts w:hint="eastAsia" w:ascii="方正小标宋简体" w:hAnsi="方正小标宋简体" w:eastAsia="方正小标宋简体" w:cs="方正小标宋简体"/>
          <w:kern w:val="2"/>
          <w:sz w:val="44"/>
          <w:szCs w:val="44"/>
          <w:lang w:val="zh-CN" w:eastAsia="zh-CN"/>
        </w:rPr>
        <w:t>项目绩效自评报告</w:t>
      </w:r>
    </w:p>
    <w:p>
      <w:pPr>
        <w:keepNext w:val="0"/>
        <w:keepLines w:val="0"/>
        <w:pageBreakBefore w:val="0"/>
        <w:kinsoku/>
        <w:wordWrap/>
        <w:topLinePunct/>
        <w:bidi w:val="0"/>
        <w:snapToGrid/>
        <w:spacing w:line="560" w:lineRule="exact"/>
        <w:ind w:firstLine="800" w:firstLineChars="250"/>
        <w:textAlignment w:val="auto"/>
        <w:rPr>
          <w:rFonts w:ascii="黑体" w:eastAsia="黑体"/>
          <w:sz w:val="32"/>
          <w:szCs w:val="32"/>
        </w:rPr>
      </w:pPr>
    </w:p>
    <w:p>
      <w:pPr>
        <w:keepNext w:val="0"/>
        <w:keepLines w:val="0"/>
        <w:pageBreakBefore w:val="0"/>
        <w:kinsoku/>
        <w:wordWrap/>
        <w:topLinePunct/>
        <w:bidi w:val="0"/>
        <w:snapToGrid/>
        <w:spacing w:line="560" w:lineRule="exact"/>
        <w:ind w:firstLine="640" w:firstLineChars="200"/>
        <w:jc w:val="left"/>
        <w:textAlignment w:val="auto"/>
        <w:rPr>
          <w:rFonts w:ascii="黑体" w:eastAsia="黑体"/>
          <w:sz w:val="32"/>
          <w:szCs w:val="32"/>
        </w:rPr>
      </w:pPr>
      <w:r>
        <w:rPr>
          <w:rFonts w:hint="eastAsia" w:ascii="黑体" w:eastAsia="黑体"/>
          <w:sz w:val="32"/>
          <w:szCs w:val="32"/>
        </w:rPr>
        <w:t>一、项目基本情况</w:t>
      </w:r>
    </w:p>
    <w:p>
      <w:pPr>
        <w:keepNext w:val="0"/>
        <w:keepLines w:val="0"/>
        <w:pageBreakBefore w:val="0"/>
        <w:kinsoku/>
        <w:wordWrap/>
        <w:topLinePunct/>
        <w:bidi w:val="0"/>
        <w:snapToGrid/>
        <w:spacing w:line="560" w:lineRule="exact"/>
        <w:ind w:firstLine="800" w:firstLineChars="25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1.立项背景及目的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就业是最大的民生，也是经济发展最基本的支撑，也是脱贫攻坚的重要工作。202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年昆明市继续开展残疾人职业技能培训及就业服务工作，积极推动就业服务工作稳步开展，推动昆明市残疾人就业服务提升，促进昆明市残疾人就业状况不断改善。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根据中华人民共和国国务院令第488号《残疾人就业条例》中“第二条：国家对残疾人就业实行集中就业与分散就业相结合的方针，促进残疾人就业。县级以上人民政府应当将残疾人就业纳入国民经济和社会发展规划，并制定优惠政策和具体扶持保护措施，为残疾人就业创造条件；第四条：国家鼓励社会组织和个人通过多种渠道、多种形式，帮助、支持残疾人就业，鼓励残疾人通过应聘等多种形式就业。禁止在就业中歧视残疾人。残疾人应当提高自身素质，增强就业能力；第二十一条：各级人民政府和有关部门应当为就业困难的残疾人提供有针对性的就业援助服务，鼓励和扶持职业培训机构为残疾人提供职业培训，并组织残疾人定期开展职业技能竞赛。</w:t>
      </w:r>
      <w:r>
        <w:rPr>
          <w:rFonts w:hint="eastAsia" w:ascii="仿宋_GB2312" w:eastAsia="仿宋_GB2312" w:cs="Times New Roman"/>
          <w:kern w:val="2"/>
          <w:sz w:val="32"/>
          <w:szCs w:val="32"/>
          <w:lang w:val="en-US" w:eastAsia="zh-CN"/>
        </w:rPr>
        <w:t>”</w:t>
      </w:r>
      <w:r>
        <w:rPr>
          <w:rFonts w:hint="eastAsia" w:ascii="仿宋_GB2312" w:hAnsi="Calibri" w:eastAsia="仿宋_GB2312" w:cs="Times New Roman"/>
          <w:kern w:val="2"/>
          <w:sz w:val="32"/>
          <w:szCs w:val="32"/>
          <w:lang w:val="en-US" w:eastAsia="zh-CN"/>
        </w:rPr>
        <w:t>的职责要求。</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项目实施情况。</w:t>
      </w:r>
    </w:p>
    <w:p>
      <w:pPr>
        <w:keepNext w:val="0"/>
        <w:keepLines w:val="0"/>
        <w:pageBreakBefore w:val="0"/>
        <w:kinsoku/>
        <w:wordWrap/>
        <w:bidi w:val="0"/>
        <w:snapToGrid/>
        <w:spacing w:line="560" w:lineRule="exact"/>
        <w:ind w:firstLine="64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1）开展残疾人就业服务机构工作人员业务能力提升培训。（2）开展2022年残疾人职业技能培训4期。（3）开展第六届昆明市残疾人职业技能竞赛、竞赛选拔工作、参加第七届云南省残疾人职业技能竞赛竞赛。本项目合计使用经费82.050854万元，结余经费15.310146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资金来源及使用情况。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default"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昆明市残疾人综合服务中心202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年残疾人职业技能培训及就业服务项目预算申报金额为</w:t>
      </w:r>
      <w:r>
        <w:rPr>
          <w:rFonts w:hint="eastAsia" w:ascii="仿宋_GB2312" w:eastAsia="仿宋_GB2312" w:cs="Times New Roman"/>
          <w:kern w:val="2"/>
          <w:sz w:val="32"/>
          <w:szCs w:val="32"/>
          <w:lang w:val="en-US" w:eastAsia="zh-CN"/>
        </w:rPr>
        <w:t>97.361</w:t>
      </w:r>
      <w:r>
        <w:rPr>
          <w:rFonts w:hint="eastAsia" w:ascii="仿宋_GB2312" w:hAnsi="Calibri" w:eastAsia="仿宋_GB2312" w:cs="Times New Roman"/>
          <w:kern w:val="2"/>
          <w:sz w:val="32"/>
          <w:szCs w:val="32"/>
          <w:lang w:val="en-US" w:eastAsia="zh-CN"/>
        </w:rPr>
        <w:t>万元，实际支出</w:t>
      </w:r>
      <w:r>
        <w:rPr>
          <w:rFonts w:hint="eastAsia" w:ascii="仿宋_GB2312" w:hAnsi="仿宋" w:eastAsia="仿宋_GB2312" w:cs="仿宋_GB2312"/>
          <w:b w:val="0"/>
          <w:bCs w:val="0"/>
          <w:kern w:val="2"/>
          <w:sz w:val="32"/>
          <w:szCs w:val="32"/>
          <w:lang w:val="en-US" w:eastAsia="zh-CN" w:bidi="ar-SA"/>
        </w:rPr>
        <w:t>82.050854万元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84.28</w:t>
      </w:r>
      <w:r>
        <w:rPr>
          <w:rFonts w:hint="eastAsia" w:ascii="仿宋_GB2312" w:hAnsi="Calibri" w:eastAsia="仿宋_GB2312" w:cs="Times New Roman"/>
          <w:kern w:val="2"/>
          <w:sz w:val="32"/>
          <w:szCs w:val="32"/>
          <w:lang w:val="en-US" w:eastAsia="zh-CN"/>
        </w:rPr>
        <w:t>%。</w:t>
      </w:r>
    </w:p>
    <w:p>
      <w:pPr>
        <w:keepNext w:val="0"/>
        <w:keepLines w:val="0"/>
        <w:pageBreakBefore w:val="0"/>
        <w:kinsoku/>
        <w:wordWrap/>
        <w:bidi w:val="0"/>
        <w:snapToGrid/>
        <w:spacing w:line="560" w:lineRule="exact"/>
        <w:ind w:firstLine="640"/>
        <w:jc w:val="left"/>
        <w:textAlignment w:val="auto"/>
        <w:rPr>
          <w:rFonts w:hint="default"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bCs/>
          <w:kern w:val="2"/>
          <w:sz w:val="32"/>
          <w:szCs w:val="32"/>
          <w:lang w:val="en-US" w:eastAsia="zh-CN" w:bidi="ar-SA"/>
        </w:rPr>
        <w:t>（1）对各就业服务项目的审核、指导、检查工作，</w:t>
      </w:r>
      <w:r>
        <w:rPr>
          <w:rFonts w:hint="eastAsia" w:ascii="仿宋_GB2312" w:hAnsi="仿宋" w:eastAsia="仿宋_GB2312" w:cs="仿宋_GB2312"/>
          <w:b w:val="0"/>
          <w:bCs w:val="0"/>
          <w:kern w:val="2"/>
          <w:sz w:val="32"/>
          <w:szCs w:val="32"/>
          <w:lang w:val="en-US" w:eastAsia="zh-CN" w:bidi="ar-SA"/>
        </w:rPr>
        <w:t>预算金额1.56万元，到位数1.56万元。2022年开展各项目检查工作，按照单位要求统一使用办公经费，未使用此项目中的经费，故结余经费1.56万元。</w:t>
      </w:r>
    </w:p>
    <w:p>
      <w:pPr>
        <w:keepNext w:val="0"/>
        <w:keepLines w:val="0"/>
        <w:pageBreakBefore w:val="0"/>
        <w:kinsoku/>
        <w:wordWrap/>
        <w:bidi w:val="0"/>
        <w:snapToGrid/>
        <w:spacing w:line="560" w:lineRule="exact"/>
        <w:ind w:firstLine="640"/>
        <w:jc w:val="left"/>
        <w:textAlignment w:val="auto"/>
        <w:rPr>
          <w:rFonts w:hint="default"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bCs/>
          <w:kern w:val="2"/>
          <w:sz w:val="32"/>
          <w:szCs w:val="32"/>
          <w:lang w:val="en-US" w:eastAsia="zh-CN" w:bidi="ar-SA"/>
        </w:rPr>
        <w:t>（2）组织开展残疾人就业服务机构工作人员培训，</w:t>
      </w:r>
      <w:r>
        <w:rPr>
          <w:rFonts w:hint="eastAsia" w:ascii="仿宋_GB2312" w:hAnsi="仿宋" w:eastAsia="仿宋_GB2312" w:cs="仿宋_GB2312"/>
          <w:b w:val="0"/>
          <w:bCs w:val="0"/>
          <w:kern w:val="2"/>
          <w:sz w:val="32"/>
          <w:szCs w:val="32"/>
          <w:lang w:val="en-US" w:eastAsia="zh-CN" w:bidi="ar-SA"/>
        </w:rPr>
        <w:t>预算金额5.271万元，到位数5.271万元。2022年开展残疾人就业服务机构工作人员业务能力提升培训1期，使用经费</w:t>
      </w:r>
      <w:r>
        <w:rPr>
          <w:rFonts w:hint="default" w:ascii="仿宋_GB2312" w:hAnsi="宋体" w:eastAsia="仿宋_GB2312" w:cs="仿宋_GB2312"/>
          <w:color w:val="000000"/>
          <w:kern w:val="2"/>
          <w:sz w:val="32"/>
          <w:szCs w:val="32"/>
          <w:lang w:eastAsia="zh-Hans" w:bidi="zh-CN"/>
        </w:rPr>
        <w:t>0</w:t>
      </w:r>
      <w:r>
        <w:rPr>
          <w:rFonts w:hint="eastAsia" w:ascii="仿宋_GB2312" w:hAnsi="宋体" w:eastAsia="仿宋_GB2312" w:cs="仿宋_GB2312"/>
          <w:color w:val="000000"/>
          <w:kern w:val="2"/>
          <w:sz w:val="32"/>
          <w:szCs w:val="32"/>
          <w:lang w:val="en-US" w:eastAsia="zh-Hans" w:bidi="zh-CN"/>
        </w:rPr>
        <w:t>.</w:t>
      </w:r>
      <w:r>
        <w:rPr>
          <w:rFonts w:hint="default" w:ascii="仿宋_GB2312" w:hAnsi="宋体" w:eastAsia="仿宋_GB2312" w:cs="仿宋_GB2312"/>
          <w:color w:val="000000"/>
          <w:kern w:val="2"/>
          <w:sz w:val="32"/>
          <w:szCs w:val="32"/>
          <w:lang w:eastAsia="zh-Hans" w:bidi="zh-CN"/>
        </w:rPr>
        <w:t>9735</w:t>
      </w:r>
      <w:r>
        <w:rPr>
          <w:rFonts w:hint="eastAsia" w:ascii="仿宋_GB2312" w:hAnsi="仿宋" w:eastAsia="仿宋_GB2312" w:cs="仿宋_GB2312"/>
          <w:b w:val="0"/>
          <w:bCs w:val="0"/>
          <w:kern w:val="2"/>
          <w:sz w:val="32"/>
          <w:szCs w:val="32"/>
          <w:lang w:val="en-US" w:eastAsia="zh-CN" w:bidi="ar-SA"/>
        </w:rPr>
        <w:t>万元，结余经费4.2975万元。</w:t>
      </w:r>
    </w:p>
    <w:p>
      <w:pPr>
        <w:keepNext w:val="0"/>
        <w:keepLines w:val="0"/>
        <w:pageBreakBefore w:val="0"/>
        <w:kinsoku/>
        <w:wordWrap/>
        <w:bidi w:val="0"/>
        <w:snapToGrid/>
        <w:spacing w:line="560" w:lineRule="exact"/>
        <w:ind w:firstLine="64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bCs/>
          <w:kern w:val="2"/>
          <w:sz w:val="32"/>
          <w:szCs w:val="32"/>
          <w:lang w:val="en-US" w:eastAsia="zh-CN" w:bidi="ar-SA"/>
        </w:rPr>
        <w:t>（3）组织开展2022年残疾人职业技能培训，</w:t>
      </w:r>
      <w:r>
        <w:rPr>
          <w:rFonts w:hint="eastAsia" w:ascii="仿宋_GB2312" w:hAnsi="仿宋" w:eastAsia="仿宋_GB2312" w:cs="仿宋_GB2312"/>
          <w:b w:val="0"/>
          <w:bCs w:val="0"/>
          <w:kern w:val="2"/>
          <w:sz w:val="32"/>
          <w:szCs w:val="32"/>
          <w:lang w:val="en-US" w:eastAsia="zh-CN" w:bidi="ar-SA"/>
        </w:rPr>
        <w:t>预算金额64.53万元，到位数64.53万元。2022年开展残疾人职业技能培训4期，使用经费63.6万元，结余经费0.93万元。</w:t>
      </w:r>
    </w:p>
    <w:p>
      <w:pPr>
        <w:keepNext w:val="0"/>
        <w:keepLines w:val="0"/>
        <w:pageBreakBefore w:val="0"/>
        <w:numPr>
          <w:ilvl w:val="0"/>
          <w:numId w:val="0"/>
        </w:numPr>
        <w:kinsoku/>
        <w:wordWrap/>
        <w:bidi w:val="0"/>
        <w:snapToGrid/>
        <w:spacing w:line="560" w:lineRule="exact"/>
        <w:ind w:firstLine="643"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bCs/>
          <w:kern w:val="2"/>
          <w:sz w:val="32"/>
          <w:szCs w:val="32"/>
          <w:lang w:val="en-US" w:eastAsia="zh-CN" w:bidi="ar-SA"/>
        </w:rPr>
        <w:t>（4）举办昆明市市级竞赛和参加云南省省级竞赛，</w:t>
      </w:r>
      <w:r>
        <w:rPr>
          <w:rFonts w:hint="eastAsia" w:ascii="仿宋_GB2312" w:hAnsi="仿宋" w:eastAsia="仿宋_GB2312" w:cs="仿宋_GB2312"/>
          <w:b w:val="0"/>
          <w:bCs w:val="0"/>
          <w:kern w:val="2"/>
          <w:sz w:val="32"/>
          <w:szCs w:val="32"/>
          <w:lang w:val="en-US" w:eastAsia="zh-CN" w:bidi="ar-SA"/>
        </w:rPr>
        <w:t>预算金额26万元，到位数26万元。2022年举办第六届昆明市残疾人职业技能竞赛、竞赛选拔工作、参加第七届云南省残疾人职业技能竞赛使用经费</w:t>
      </w:r>
      <w:r>
        <w:rPr>
          <w:rFonts w:hint="default" w:ascii="仿宋_GB2312" w:hAnsi="宋体" w:eastAsia="仿宋_GB2312" w:cs="仿宋_GB2312"/>
          <w:color w:val="000000"/>
          <w:kern w:val="2"/>
          <w:sz w:val="32"/>
          <w:szCs w:val="32"/>
          <w:lang w:eastAsia="zh-CN" w:bidi="zh-CN"/>
        </w:rPr>
        <w:t>17</w:t>
      </w:r>
      <w:r>
        <w:rPr>
          <w:rFonts w:hint="eastAsia" w:ascii="仿宋_GB2312" w:hAnsi="宋体" w:eastAsia="仿宋_GB2312" w:cs="仿宋_GB2312"/>
          <w:color w:val="000000"/>
          <w:kern w:val="2"/>
          <w:sz w:val="32"/>
          <w:szCs w:val="32"/>
          <w:lang w:val="en-US" w:eastAsia="zh-Hans" w:bidi="zh-CN"/>
        </w:rPr>
        <w:t>.</w:t>
      </w:r>
      <w:r>
        <w:rPr>
          <w:rFonts w:hint="default" w:ascii="仿宋_GB2312" w:hAnsi="宋体" w:eastAsia="仿宋_GB2312" w:cs="仿宋_GB2312"/>
          <w:color w:val="000000"/>
          <w:kern w:val="2"/>
          <w:sz w:val="32"/>
          <w:szCs w:val="32"/>
          <w:lang w:eastAsia="zh-Hans" w:bidi="zh-CN"/>
        </w:rPr>
        <w:t>47</w:t>
      </w:r>
      <w:r>
        <w:rPr>
          <w:rFonts w:hint="eastAsia" w:ascii="仿宋_GB2312" w:hAnsi="宋体" w:eastAsia="仿宋_GB2312" w:cs="仿宋_GB2312"/>
          <w:color w:val="000000"/>
          <w:kern w:val="2"/>
          <w:sz w:val="32"/>
          <w:szCs w:val="32"/>
          <w:lang w:val="en-US" w:eastAsia="zh-Hans" w:bidi="zh-CN"/>
        </w:rPr>
        <w:t>7</w:t>
      </w:r>
      <w:r>
        <w:rPr>
          <w:rFonts w:hint="default" w:ascii="仿宋_GB2312" w:hAnsi="宋体" w:eastAsia="仿宋_GB2312" w:cs="仿宋_GB2312"/>
          <w:color w:val="000000"/>
          <w:kern w:val="2"/>
          <w:sz w:val="32"/>
          <w:szCs w:val="32"/>
          <w:lang w:eastAsia="zh-Hans" w:bidi="zh-CN"/>
        </w:rPr>
        <w:t>354</w:t>
      </w:r>
      <w:r>
        <w:rPr>
          <w:rFonts w:hint="eastAsia" w:ascii="仿宋_GB2312" w:hAnsi="仿宋" w:eastAsia="仿宋_GB2312" w:cs="仿宋_GB2312"/>
          <w:b w:val="0"/>
          <w:bCs w:val="0"/>
          <w:kern w:val="2"/>
          <w:sz w:val="32"/>
          <w:szCs w:val="32"/>
          <w:lang w:val="en-US" w:eastAsia="zh-CN" w:bidi="ar-SA"/>
        </w:rPr>
        <w:t>万元，结余经费8.522646万元。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4.组织及管理情况。包括项目组织情况、项目实施流程、资金拨付流程。</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2" w:name="_Hlk514399298"/>
      <w:r>
        <w:rPr>
          <w:rFonts w:hint="eastAsia" w:ascii="仿宋_GB2312" w:hAnsi="Calibri" w:eastAsia="仿宋_GB2312" w:cs="Times New Roman"/>
          <w:kern w:val="2"/>
          <w:sz w:val="32"/>
          <w:szCs w:val="32"/>
          <w:lang w:val="en-US" w:eastAsia="zh-CN"/>
        </w:rPr>
        <w:t>（1）</w:t>
      </w:r>
      <w:bookmarkEnd w:id="2"/>
      <w:r>
        <w:rPr>
          <w:rFonts w:hint="eastAsia" w:ascii="仿宋_GB2312" w:hAnsi="Calibri" w:eastAsia="仿宋_GB2312" w:cs="Times New Roman"/>
          <w:kern w:val="2"/>
          <w:sz w:val="32"/>
          <w:szCs w:val="32"/>
          <w:lang w:val="en-US" w:eastAsia="zh-CN"/>
        </w:rPr>
        <w:t>组织情况</w:t>
      </w:r>
    </w:p>
    <w:p>
      <w:pPr>
        <w:pStyle w:val="7"/>
        <w:keepNext w:val="0"/>
        <w:keepLines w:val="0"/>
        <w:pageBreakBefore w:val="0"/>
        <w:kinsoku/>
        <w:wordWrap/>
        <w:bidi w:val="0"/>
        <w:snapToGrid/>
        <w:spacing w:before="0" w:beforeAutospacing="0" w:after="0" w:afterAutospacing="0" w:line="560" w:lineRule="exact"/>
        <w:ind w:firstLine="640" w:firstLineChars="200"/>
        <w:jc w:val="left"/>
        <w:textAlignment w:val="auto"/>
        <w:rPr>
          <w:rFonts w:ascii="仿宋_GB2312" w:hAnsi="Helvetica" w:eastAsia="仿宋_GB2312" w:cs="Helvetica"/>
          <w:sz w:val="32"/>
          <w:szCs w:val="32"/>
        </w:rPr>
      </w:pPr>
      <w:r>
        <w:rPr>
          <w:rFonts w:hint="eastAsia" w:ascii="仿宋_GB2312" w:hAnsi="Calibri" w:eastAsia="仿宋_GB2312" w:cs="Times New Roman"/>
          <w:kern w:val="2"/>
          <w:sz w:val="32"/>
          <w:szCs w:val="32"/>
          <w:lang w:val="en-US" w:eastAsia="zh-CN"/>
        </w:rPr>
        <w:t>项目具体工作由昆明市残疾人综合服务中心就业培训处负责管理，负责：</w:t>
      </w:r>
      <w:r>
        <w:rPr>
          <w:rFonts w:hint="eastAsia" w:ascii="仿宋_GB2312" w:eastAsia="仿宋_GB2312"/>
          <w:sz w:val="32"/>
          <w:szCs w:val="32"/>
        </w:rPr>
        <w:t>指导、协调各县（市）区开展残疾人就业服务工作，</w:t>
      </w:r>
      <w:r>
        <w:rPr>
          <w:rFonts w:hint="eastAsia" w:ascii="仿宋_GB2312" w:eastAsia="仿宋_GB2312"/>
          <w:sz w:val="32"/>
          <w:szCs w:val="32"/>
          <w:lang w:eastAsia="zh-CN"/>
        </w:rPr>
        <w:t>落实</w:t>
      </w:r>
      <w:r>
        <w:rPr>
          <w:rFonts w:hint="eastAsia" w:ascii="仿宋_GB2312" w:hAnsi="Helvetica" w:eastAsia="仿宋_GB2312" w:cs="Helvetica"/>
          <w:sz w:val="32"/>
          <w:szCs w:val="32"/>
        </w:rPr>
        <w:t>残疾人就业扶持和服务的相关政策。为</w:t>
      </w:r>
      <w:r>
        <w:rPr>
          <w:rFonts w:hint="eastAsia" w:ascii="仿宋_GB2312" w:hAnsi="微软雅黑" w:eastAsia="仿宋_GB2312"/>
          <w:sz w:val="32"/>
          <w:szCs w:val="32"/>
        </w:rPr>
        <w:t>残疾人提供</w:t>
      </w:r>
      <w:r>
        <w:rPr>
          <w:rFonts w:hint="eastAsia" w:ascii="仿宋_GB2312" w:eastAsia="仿宋_GB2312"/>
          <w:sz w:val="32"/>
          <w:szCs w:val="32"/>
        </w:rPr>
        <w:t>求职登记、就业咨询、</w:t>
      </w:r>
      <w:r>
        <w:rPr>
          <w:rFonts w:hint="eastAsia" w:ascii="仿宋_GB2312" w:hAnsi="Helvetica" w:eastAsia="仿宋_GB2312" w:cs="Helvetica"/>
          <w:sz w:val="32"/>
          <w:szCs w:val="32"/>
        </w:rPr>
        <w:t>就业推介</w:t>
      </w:r>
      <w:r>
        <w:rPr>
          <w:rFonts w:hint="eastAsia" w:ascii="仿宋_GB2312" w:eastAsia="仿宋_GB2312"/>
          <w:sz w:val="32"/>
          <w:szCs w:val="32"/>
        </w:rPr>
        <w:t>、</w:t>
      </w:r>
      <w:r>
        <w:rPr>
          <w:rFonts w:hint="eastAsia" w:ascii="仿宋_GB2312" w:hAnsi="微软雅黑" w:eastAsia="仿宋_GB2312"/>
          <w:sz w:val="32"/>
          <w:szCs w:val="32"/>
        </w:rPr>
        <w:t>就业援助等服务</w:t>
      </w:r>
      <w:r>
        <w:rPr>
          <w:rFonts w:hint="eastAsia" w:ascii="仿宋_GB2312" w:hAnsi="微软雅黑" w:eastAsia="仿宋_GB2312"/>
          <w:sz w:val="32"/>
          <w:szCs w:val="32"/>
          <w:lang w:eastAsia="zh-CN"/>
        </w:rPr>
        <w:t>。</w:t>
      </w:r>
      <w:r>
        <w:rPr>
          <w:rFonts w:hint="eastAsia" w:ascii="仿宋_GB2312" w:hAnsi="Helvetica" w:eastAsia="仿宋_GB2312" w:cs="Helvetica"/>
          <w:sz w:val="32"/>
          <w:szCs w:val="32"/>
          <w:lang w:val="en-US" w:eastAsia="zh-CN"/>
        </w:rPr>
        <w:t>了解和征集用人单位聘用残疾人就业的信息，开发就业岗位，提供用工推介、用工指导等服务</w:t>
      </w: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rPr>
        <w:t>负责残疾人就业扶持和服务项目的组织实施和督导</w:t>
      </w:r>
      <w:r>
        <w:rPr>
          <w:rFonts w:hint="eastAsia" w:ascii="仿宋_GB2312" w:hAnsi="Helvetica" w:eastAsia="仿宋_GB2312" w:cs="Helvetica"/>
          <w:sz w:val="32"/>
          <w:szCs w:val="32"/>
          <w:lang w:eastAsia="zh-CN"/>
        </w:rPr>
        <w:t>。</w:t>
      </w:r>
      <w:r>
        <w:rPr>
          <w:rFonts w:hint="eastAsia" w:ascii="仿宋_GB2312" w:hAnsi="Helvetica" w:eastAsia="仿宋_GB2312" w:cs="Helvetica"/>
          <w:sz w:val="32"/>
          <w:szCs w:val="32"/>
        </w:rPr>
        <w:t>开展残疾人就业和失业统计，收集和发布残疾人就业信息。组织开展残疾人职业技能培训、竞赛以及技能人才的储备，做好残疾人就业与培训相关信息录入工作。负责全市残疾人就业保障金征收工作的组织协调，组织和指导全市开展</w:t>
      </w:r>
      <w:r>
        <w:rPr>
          <w:rFonts w:hint="eastAsia" w:ascii="仿宋_GB2312" w:hAnsi="微软雅黑" w:eastAsia="仿宋_GB2312"/>
          <w:sz w:val="32"/>
          <w:szCs w:val="32"/>
        </w:rPr>
        <w:t>按比例安</w:t>
      </w:r>
      <w:r>
        <w:rPr>
          <w:rFonts w:hint="eastAsia" w:ascii="仿宋_GB2312" w:hAnsi="微软雅黑" w:eastAsia="仿宋_GB2312"/>
          <w:sz w:val="32"/>
          <w:szCs w:val="32"/>
          <w:lang w:eastAsia="zh-CN"/>
        </w:rPr>
        <w:t>排</w:t>
      </w:r>
      <w:r>
        <w:rPr>
          <w:rFonts w:hint="eastAsia" w:ascii="仿宋_GB2312" w:hAnsi="微软雅黑" w:eastAsia="仿宋_GB2312"/>
          <w:sz w:val="32"/>
          <w:szCs w:val="32"/>
        </w:rPr>
        <w:t>残疾人就业相关工作</w:t>
      </w:r>
      <w:r>
        <w:rPr>
          <w:rFonts w:hint="eastAsia" w:ascii="仿宋_GB2312" w:hAnsi="Helvetica" w:eastAsia="仿宋_GB2312" w:cs="Helvetica"/>
          <w:sz w:val="32"/>
          <w:szCs w:val="32"/>
        </w:rPr>
        <w:t>，</w:t>
      </w:r>
      <w:r>
        <w:rPr>
          <w:rFonts w:hint="eastAsia" w:ascii="仿宋_GB2312" w:hAnsi="微软雅黑" w:eastAsia="仿宋_GB2312"/>
          <w:sz w:val="32"/>
          <w:szCs w:val="32"/>
        </w:rPr>
        <w:t>承担</w:t>
      </w:r>
      <w:r>
        <w:rPr>
          <w:rFonts w:hint="eastAsia" w:ascii="仿宋_GB2312" w:hAnsi="仿宋" w:eastAsia="仿宋_GB2312"/>
          <w:sz w:val="32"/>
          <w:szCs w:val="32"/>
          <w:shd w:val="clear" w:color="auto" w:fill="FFFFFF"/>
        </w:rPr>
        <w:t>市本级用人单位的</w:t>
      </w:r>
      <w:r>
        <w:rPr>
          <w:rFonts w:hint="eastAsia" w:ascii="仿宋_GB2312" w:hAnsi="微软雅黑" w:eastAsia="仿宋_GB2312"/>
          <w:sz w:val="32"/>
          <w:szCs w:val="32"/>
        </w:rPr>
        <w:t>按比例安</w:t>
      </w:r>
      <w:r>
        <w:rPr>
          <w:rFonts w:hint="eastAsia" w:ascii="仿宋_GB2312" w:hAnsi="微软雅黑" w:eastAsia="仿宋_GB2312"/>
          <w:sz w:val="32"/>
          <w:szCs w:val="32"/>
          <w:lang w:eastAsia="zh-CN"/>
        </w:rPr>
        <w:t>排</w:t>
      </w:r>
      <w:r>
        <w:rPr>
          <w:rFonts w:hint="eastAsia" w:ascii="仿宋_GB2312" w:hAnsi="微软雅黑" w:eastAsia="仿宋_GB2312"/>
          <w:sz w:val="32"/>
          <w:szCs w:val="32"/>
        </w:rPr>
        <w:t>残疾人就业年审工作。完成上级交办的其他事项。</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（2）实施流程</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2022年6月完成残疾人就业服务机构工作人员业务能力提升培训。</w:t>
      </w:r>
    </w:p>
    <w:p>
      <w:pPr>
        <w:pStyle w:val="4"/>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2022年6月完成第六届昆明市残疾人职业技能竞赛。</w:t>
      </w:r>
    </w:p>
    <w:p>
      <w:pPr>
        <w:pStyle w:val="4"/>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2022年7月参加第七届云南省残疾人职业技能竞赛。</w:t>
      </w:r>
    </w:p>
    <w:p>
      <w:pPr>
        <w:pStyle w:val="4"/>
        <w:keepNext w:val="0"/>
        <w:keepLines w:val="0"/>
        <w:pageBreakBefore w:val="0"/>
        <w:kinsoku/>
        <w:wordWrap/>
        <w:topLinePunct w:val="0"/>
        <w:bidi w:val="0"/>
        <w:snapToGrid/>
        <w:spacing w:line="56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2022年8月完成2022年残疾人职业技能培训。</w:t>
      </w:r>
    </w:p>
    <w:p>
      <w:pPr>
        <w:keepNext w:val="0"/>
        <w:keepLines w:val="0"/>
        <w:pageBreakBefore w:val="0"/>
        <w:widowControl/>
        <w:numPr>
          <w:ilvl w:val="0"/>
          <w:numId w:val="1"/>
        </w:numPr>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拨付</w:t>
      </w:r>
      <w:r>
        <w:rPr>
          <w:rFonts w:hint="eastAsia" w:ascii="仿宋_GB2312" w:hAnsi="Calibri" w:eastAsia="仿宋_GB2312" w:cs="Times New Roman"/>
          <w:kern w:val="2"/>
          <w:sz w:val="32"/>
          <w:szCs w:val="32"/>
          <w:lang w:val="en-US" w:eastAsia="zh-CN"/>
        </w:rPr>
        <w:t>流程</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2022年7月完成残疾人就业服务机构工作人员业务能力提升培训经费的拨付工作。</w:t>
      </w:r>
    </w:p>
    <w:p>
      <w:pPr>
        <w:pStyle w:val="4"/>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2022年12月完成第六届昆明市残疾人职业技能竞赛经费的拨付工作。</w:t>
      </w:r>
    </w:p>
    <w:p>
      <w:pPr>
        <w:pStyle w:val="4"/>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2022年12月参加第七届云南省残疾人职业技能竞赛经费的拨付工作。</w:t>
      </w:r>
    </w:p>
    <w:p>
      <w:pPr>
        <w:pStyle w:val="4"/>
        <w:keepNext w:val="0"/>
        <w:keepLines w:val="0"/>
        <w:pageBreakBefore w:val="0"/>
        <w:numPr>
          <w:ilvl w:val="0"/>
          <w:numId w:val="0"/>
        </w:numPr>
        <w:kinsoku/>
        <w:wordWrap/>
        <w:bidi w:val="0"/>
        <w:snapToGrid/>
        <w:spacing w:line="560" w:lineRule="exact"/>
        <w:ind w:firstLine="640" w:firstLineChars="200"/>
        <w:jc w:val="left"/>
        <w:textAlignment w:val="auto"/>
        <w:rPr>
          <w:rFonts w:hint="eastAsia"/>
          <w:sz w:val="32"/>
          <w:szCs w:val="32"/>
          <w:lang w:val="en-US" w:eastAsia="zh-CN"/>
        </w:rPr>
      </w:pPr>
      <w:r>
        <w:rPr>
          <w:rFonts w:hint="eastAsia" w:ascii="仿宋_GB2312" w:hAnsi="宋体" w:eastAsia="仿宋_GB2312" w:cs="宋体"/>
          <w:b w:val="0"/>
          <w:bCs w:val="0"/>
          <w:color w:val="000000"/>
          <w:kern w:val="0"/>
          <w:sz w:val="32"/>
          <w:szCs w:val="32"/>
          <w:lang w:val="en-US" w:eastAsia="zh-CN" w:bidi="ar-SA"/>
        </w:rPr>
        <w:t>2022年9月完成2022年残疾人职业技能培训经费的拨付工作。</w:t>
      </w:r>
    </w:p>
    <w:p>
      <w:pPr>
        <w:keepNext w:val="0"/>
        <w:keepLines w:val="0"/>
        <w:pageBreakBefore w:val="0"/>
        <w:kinsoku/>
        <w:wordWrap/>
        <w:topLinePunct/>
        <w:bidi w:val="0"/>
        <w:snapToGrid/>
        <w:spacing w:line="560" w:lineRule="exact"/>
        <w:ind w:firstLine="800" w:firstLineChars="25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keepNext w:val="0"/>
        <w:keepLines w:val="0"/>
        <w:pageBreakBefore w:val="0"/>
        <w:kinsoku/>
        <w:wordWrap/>
        <w:topLinePunct/>
        <w:bidi w:val="0"/>
        <w:snapToGrid/>
        <w:spacing w:line="560" w:lineRule="exact"/>
        <w:ind w:firstLine="800" w:firstLineChars="25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1.总目标</w:t>
      </w:r>
    </w:p>
    <w:p>
      <w:pPr>
        <w:pStyle w:val="3"/>
        <w:keepNext w:val="0"/>
        <w:keepLines w:val="0"/>
        <w:pageBreakBefore w:val="0"/>
        <w:kinsoku/>
        <w:wordWrap/>
        <w:overflowPunct/>
        <w:topLinePunct w:val="0"/>
        <w:autoSpaceDE/>
        <w:bidi w:val="0"/>
        <w:adjustRightInd/>
        <w:snapToGrid/>
        <w:spacing w:before="0" w:after="0"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做好2022年的残疾人职业技能培训及就业服务工作，提高残疾人自身素质，让渴望就业的残疾人具有一技之长，进一步促进残疾人平等就业、稳定就业，提高残疾人职业技能水平，为残疾人提供更好的就业环境。</w:t>
      </w:r>
    </w:p>
    <w:p>
      <w:pPr>
        <w:keepNext w:val="0"/>
        <w:keepLines w:val="0"/>
        <w:pageBreakBefore w:val="0"/>
        <w:numPr>
          <w:ilvl w:val="0"/>
          <w:numId w:val="0"/>
        </w:numPr>
        <w:kinsoku/>
        <w:wordWrap/>
        <w:topLinePunct/>
        <w:bidi w:val="0"/>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2.年度目标</w:t>
      </w:r>
    </w:p>
    <w:p>
      <w:pPr>
        <w:pStyle w:val="7"/>
        <w:keepNext w:val="0"/>
        <w:keepLines w:val="0"/>
        <w:pageBreakBefore w:val="0"/>
        <w:shd w:val="clear" w:color="auto" w:fill="FFFFFF"/>
        <w:kinsoku/>
        <w:wordWrap/>
        <w:bidi w:val="0"/>
        <w:snapToGrid/>
        <w:spacing w:before="0" w:beforeAutospacing="0" w:after="0" w:afterAutospacing="0" w:line="560" w:lineRule="exac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年组织开展残疾人职业技能培训不少于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举办昆明市残疾人职业技能竞赛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残疾人服务机构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工作人员职业指导竞赛</w:t>
      </w:r>
      <w:r>
        <w:rPr>
          <w:rFonts w:hint="eastAsia" w:ascii="仿宋_GB2312" w:hAnsi="仿宋_GB2312" w:eastAsia="仿宋_GB2312" w:cs="仿宋_GB2312"/>
          <w:color w:val="000000" w:themeColor="text1"/>
          <w:sz w:val="32"/>
          <w:szCs w:val="32"/>
          <w14:textFill>
            <w14:solidFill>
              <w14:schemeClr w14:val="tx1"/>
            </w14:solidFill>
          </w14:textFill>
        </w:rPr>
        <w:t>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1期</w:t>
      </w:r>
      <w:r>
        <w:rPr>
          <w:rFonts w:hint="eastAsia" w:ascii="仿宋_GB2312" w:hAnsi="仿宋_GB2312" w:eastAsia="仿宋_GB2312" w:cs="仿宋_GB2312"/>
          <w:color w:val="000000" w:themeColor="text1"/>
          <w:sz w:val="32"/>
          <w:szCs w:val="32"/>
          <w14:textFill>
            <w14:solidFill>
              <w14:schemeClr w14:val="tx1"/>
            </w14:solidFill>
          </w14:textFill>
        </w:rPr>
        <w:t>，按照省级残疾人职业技能竞赛、岗位精英赛的举办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情况积极</w:t>
      </w:r>
      <w:r>
        <w:rPr>
          <w:rFonts w:hint="eastAsia" w:ascii="仿宋_GB2312" w:hAnsi="仿宋_GB2312" w:eastAsia="仿宋_GB2312" w:cs="仿宋_GB2312"/>
          <w:color w:val="000000" w:themeColor="text1"/>
          <w:sz w:val="32"/>
          <w:szCs w:val="32"/>
          <w14:textFill>
            <w14:solidFill>
              <w14:schemeClr w14:val="tx1"/>
            </w14:solidFill>
          </w14:textFill>
        </w:rPr>
        <w:t>参加省级竞赛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同时对各就业服务项目的审核、指导、检查等。</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（1）举办残疾人职业技能培训期数不少于3期，完成4期，完成率100%。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（2）参加残疾人职业技能培训的残疾人数不少于60人次，完成114人，完成率100%。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（3）举办残疾人职业技能竞赛、残疾人服务机构工作人员职业指导竞赛期数不少于1期，2022年举办第六届昆明市残疾人职业技能竞赛1期，完成率100%。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（4）参加昆明市残疾人职业技能竞赛、残疾人服务机构工作人员职业指导竞赛人数不少于50人，参加第六届昆明市残疾人职业技能竞赛人数52人，完成率100%。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_GB2312"/>
          <w:b w:val="0"/>
          <w:bCs w:val="0"/>
          <w:color w:val="000000" w:themeColor="text1"/>
          <w:kern w:val="2"/>
          <w:sz w:val="32"/>
          <w:szCs w:val="32"/>
          <w:lang w:val="en-US" w:eastAsia="zh-CN" w:bidi="ar-SA"/>
          <w14:textFill>
            <w14:solidFill>
              <w14:schemeClr w14:val="tx1"/>
            </w14:solidFill>
          </w14:textFill>
        </w:rPr>
        <w:t>（5）残疾人职业技能培训合格率不少于90%，实际完成合格率为100%，完成率100%。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（6）2022年11月30日前完成残疾人职业技能培训，实际完成时间为2022年8月21日，完成率100%。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（7）2022年11月30日前完成残疾人职业技能竞赛、残疾人服务机构工作人员职业指导竞赛，实际完成时间为2022年7月2日，完成率100%。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（8）残疾人职业技能培训成本不多于64.53万元，实际使用经费63.6万元，完成率100%。</w:t>
      </w:r>
    </w:p>
    <w:p>
      <w:pPr>
        <w:keepNext w:val="0"/>
        <w:keepLines w:val="0"/>
        <w:pageBreakBefore w:val="0"/>
        <w:numPr>
          <w:ilvl w:val="0"/>
          <w:numId w:val="0"/>
        </w:numPr>
        <w:kinsoku/>
        <w:wordWrap/>
        <w:bidi w:val="0"/>
        <w:snapToGrid/>
        <w:spacing w:line="560" w:lineRule="exact"/>
        <w:ind w:firstLine="64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（9）残疾人职业技能竞赛、残疾人服务机构工作人员职业指导竞赛成本不多于26万元，实际使用经费</w:t>
      </w:r>
      <w:r>
        <w:rPr>
          <w:rFonts w:hint="default" w:ascii="仿宋_GB2312" w:hAnsi="仿宋" w:eastAsia="仿宋_GB2312" w:cs="仿宋_GB2312"/>
          <w:b w:val="0"/>
          <w:bCs w:val="0"/>
          <w:kern w:val="2"/>
          <w:sz w:val="32"/>
          <w:szCs w:val="32"/>
          <w:lang w:val="en-US" w:eastAsia="zh-CN" w:bidi="ar-SA"/>
        </w:rPr>
        <w:t>17</w:t>
      </w:r>
      <w:r>
        <w:rPr>
          <w:rFonts w:hint="eastAsia" w:ascii="仿宋_GB2312" w:hAnsi="仿宋" w:eastAsia="仿宋_GB2312" w:cs="仿宋_GB2312"/>
          <w:b w:val="0"/>
          <w:bCs w:val="0"/>
          <w:kern w:val="2"/>
          <w:sz w:val="32"/>
          <w:szCs w:val="32"/>
          <w:lang w:val="en-US" w:eastAsia="zh-Hans" w:bidi="ar-SA"/>
        </w:rPr>
        <w:t>.</w:t>
      </w:r>
      <w:r>
        <w:rPr>
          <w:rFonts w:hint="default" w:ascii="仿宋_GB2312" w:hAnsi="仿宋" w:eastAsia="仿宋_GB2312" w:cs="仿宋_GB2312"/>
          <w:b w:val="0"/>
          <w:bCs w:val="0"/>
          <w:kern w:val="2"/>
          <w:sz w:val="32"/>
          <w:szCs w:val="32"/>
          <w:lang w:val="en-US" w:eastAsia="zh-Hans" w:bidi="ar-SA"/>
        </w:rPr>
        <w:t>477354</w:t>
      </w:r>
      <w:r>
        <w:rPr>
          <w:rFonts w:hint="eastAsia" w:ascii="仿宋_GB2312" w:hAnsi="仿宋" w:eastAsia="仿宋_GB2312" w:cs="仿宋_GB2312"/>
          <w:b w:val="0"/>
          <w:bCs w:val="0"/>
          <w:kern w:val="2"/>
          <w:sz w:val="32"/>
          <w:szCs w:val="32"/>
          <w:lang w:val="en-US" w:eastAsia="zh-CN" w:bidi="ar-SA"/>
        </w:rPr>
        <w:t>万元，完成率100%。</w:t>
      </w:r>
    </w:p>
    <w:p>
      <w:pPr>
        <w:keepNext w:val="0"/>
        <w:keepLines w:val="0"/>
        <w:pageBreakBefore w:val="0"/>
        <w:numPr>
          <w:ilvl w:val="0"/>
          <w:numId w:val="0"/>
        </w:numPr>
        <w:kinsoku/>
        <w:wordWrap/>
        <w:bidi w:val="0"/>
        <w:snapToGrid/>
        <w:spacing w:line="560" w:lineRule="exact"/>
        <w:ind w:firstLine="640"/>
        <w:jc w:val="left"/>
        <w:textAlignment w:val="auto"/>
        <w:rPr>
          <w:rFonts w:hint="default"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（10）残疾人自身职业技能水平和就业能力提高，残疾人就业人数增加，社会生活融入顺利，从而新增就业人数不低于10人，已完成新增就业人数21人，完成率完成率100%。</w:t>
      </w:r>
    </w:p>
    <w:p>
      <w:pPr>
        <w:keepNext w:val="0"/>
        <w:keepLines w:val="0"/>
        <w:pageBreakBefore w:val="0"/>
        <w:numPr>
          <w:ilvl w:val="0"/>
          <w:numId w:val="0"/>
        </w:numPr>
        <w:kinsoku/>
        <w:wordWrap/>
        <w:bidi w:val="0"/>
        <w:snapToGrid/>
        <w:spacing w:line="560" w:lineRule="exact"/>
        <w:ind w:firstLine="640" w:firstLineChars="200"/>
        <w:jc w:val="left"/>
        <w:textAlignment w:val="auto"/>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（11）参加培训学员的满意度不低于90%，实际满意度97.47%，完成率100%。</w:t>
      </w:r>
    </w:p>
    <w:p>
      <w:pPr>
        <w:keepNext w:val="0"/>
        <w:keepLines w:val="0"/>
        <w:pageBreakBefore w:val="0"/>
        <w:kinsoku/>
        <w:wordWrap/>
        <w:topLinePunct/>
        <w:bidi w:val="0"/>
        <w:snapToGrid/>
        <w:spacing w:line="560" w:lineRule="exact"/>
        <w:ind w:firstLine="800" w:firstLineChars="250"/>
        <w:jc w:val="left"/>
        <w:textAlignment w:val="auto"/>
        <w:rPr>
          <w:rFonts w:ascii="黑体" w:hAnsi="黑体" w:eastAsia="黑体"/>
          <w:sz w:val="32"/>
          <w:szCs w:val="32"/>
        </w:rPr>
      </w:pPr>
      <w:r>
        <w:rPr>
          <w:rFonts w:hint="eastAsia" w:ascii="黑体" w:hAnsi="黑体" w:eastAsia="黑体"/>
          <w:sz w:val="32"/>
          <w:szCs w:val="32"/>
        </w:rPr>
        <w:t>二、绩效评价工作情况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3" w:name="_Toc9291"/>
      <w:r>
        <w:rPr>
          <w:rFonts w:hint="eastAsia" w:ascii="楷体_GB2312" w:hAnsi="楷体_GB2312" w:eastAsia="楷体_GB2312" w:cs="楷体_GB2312"/>
          <w:kern w:val="2"/>
          <w:sz w:val="32"/>
          <w:szCs w:val="32"/>
          <w:lang w:val="en-US" w:eastAsia="zh-CN"/>
        </w:rPr>
        <w:t>（一）绩效评价的目的</w:t>
      </w:r>
      <w:bookmarkEnd w:id="3"/>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4" w:name="_Toc24867"/>
      <w:r>
        <w:rPr>
          <w:rFonts w:hint="eastAsia" w:ascii="楷体_GB2312" w:hAnsi="楷体_GB2312" w:eastAsia="楷体_GB2312" w:cs="楷体_GB2312"/>
          <w:kern w:val="2"/>
          <w:sz w:val="32"/>
          <w:szCs w:val="32"/>
          <w:lang w:val="en-US" w:eastAsia="zh-CN"/>
        </w:rPr>
        <w:t>（二）绩效评价工作方案制定过程</w:t>
      </w:r>
      <w:bookmarkEnd w:id="4"/>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1.前期调研</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针对上述项目评价，为使绩效评价工作顺利开展，昆明市残疾人综合服务中心成立绩效评价工作领导小组，由综合服务中心主任任组长，各相关处室人员参与，负责绩效评价的组织、监督和实施工作。</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根据中共昆明市委 昆明市人民政府《关于全面实施预算绩效管理的实施意见》（昆发〔2019〕12号）文件要求，明确绩效评价工作的目的、对象、范围、工作步骤和相关要求。在此基础上，对有关工作要求、时间安排和人员调配等作了部署。</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2.研究文件</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通过开展部门自评、编制资料清单、信息调查表、调查问卷，在了解本项目立项、政府采购、合同签订、执行、成果验收及财政收支的基础上，讨论、制定并完善工作方案。</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3.绩效评价指标体系及工作方案的设计</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项目绩效评价指标体系设计，根据项目特点设计了产出指标、效益指标、满意度指标等个性指标。本项目支出绩效评价，设立四级评价指标体系，具体构成如下：</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一级指标由项目决策（占20%）、项目管理（占20%）、项目绩效（占60%）等3项构成，二级指标8项，三级指标22项目，四级指标33项（其中个性指标8项），满分100分。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同时形成工作方案，即：对基本资料进行核实、分析，对重点项目进行复查和现场核实，发放绩效问卷，利用访谈法、现场查验法、数据统计法、成本效益分析法开展具体绩效分析工作，运用相关绩效评价方法对绩效完成情况进行综合分析、打分，最后形成评价结论。评价完成后将进行结果公开及问题整改。</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5" w:name="_Toc8472"/>
      <w:r>
        <w:rPr>
          <w:rFonts w:hint="eastAsia" w:ascii="楷体_GB2312" w:hAnsi="楷体_GB2312" w:eastAsia="楷体_GB2312" w:cs="楷体_GB2312"/>
          <w:kern w:val="2"/>
          <w:sz w:val="32"/>
          <w:szCs w:val="32"/>
          <w:lang w:val="en-US" w:eastAsia="zh-CN"/>
        </w:rPr>
        <w:t>（三）绩效评价原则、评价方法</w:t>
      </w:r>
      <w:bookmarkEnd w:id="5"/>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6" w:name="_Hlk514328884"/>
      <w:r>
        <w:rPr>
          <w:rFonts w:hint="eastAsia" w:ascii="仿宋_GB2312" w:hAnsi="Calibri" w:eastAsia="仿宋_GB2312" w:cs="Times New Roman"/>
          <w:kern w:val="2"/>
          <w:sz w:val="32"/>
          <w:szCs w:val="32"/>
          <w:lang w:val="en-US" w:eastAsia="zh-CN"/>
        </w:rPr>
        <w:t>1.绩效评价的原则</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根据《财政支出绩效评价管理暂行办法》（财预〔2011〕285号）、《昆明市本级部门预算绩效自评管理暂行办法》（昆财绩〔2018〕60号），本次评价指标体系制定遵循相关性原则、重要性原则、可比性原则、经济性原则、系统性原则及公开公正原则。</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2.绩效评价的方法</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主要采用《财政支出绩效评价管理暂行办法》（财预〔2011〕285号）、《昆明市本级部门预算绩效自评管理暂行办法》（昆财绩〔2018〕60号）所确定的绩效评价方法，在实施过程中，根据服务中心部门整体预算执行情况，主要采用比较法、因素分析法和公众评判法等，了解服务中心在资金使用管理、项目组织实施、项目跟踪、项目制度建设、项目产出效果以及产生的社会、经济、环境效益及可持续发展等情况，对项目支出进行绩效评价。</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7" w:name="_Toc10736"/>
      <w:r>
        <w:rPr>
          <w:rFonts w:hint="eastAsia" w:ascii="楷体_GB2312" w:hAnsi="楷体_GB2312" w:eastAsia="楷体_GB2312" w:cs="楷体_GB2312"/>
          <w:kern w:val="2"/>
          <w:sz w:val="32"/>
          <w:szCs w:val="32"/>
          <w:lang w:val="en-US" w:eastAsia="zh-CN"/>
        </w:rPr>
        <w:t>（四）绩效评价实施过程</w:t>
      </w:r>
      <w:bookmarkEnd w:id="7"/>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1.数据填报和采集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数据采集分为两个阶段：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一是通过开展部门自评、编制资料清单、信息调查表、调查问卷，进行数据和自评报告的收集。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二是在了解本项目基本情况的基础上，由昆明市残疾人综合服务中心绩效评价小组进行讨论、制定并完善绩效评价指标体系，填报绩效指标表并打分。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2.社会调查</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社会调查分为几个层面展开：</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（1）实施部门调查，本项目由综合服务中心就业服务处负责实施，主要调查项目立项、任务分配、实施、监督检查、验收、台账管理等情况。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（2）实施基层单位调查，包括各区县残联及残疾人培训补助的情况。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（3）发放调查问卷，进行公众满意度调查。</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3.数据分析和撰写报告</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（1）分析评价：202</w:t>
      </w:r>
      <w:r>
        <w:rPr>
          <w:rFonts w:hint="eastAsia" w:ascii="仿宋_GB2312" w:eastAsia="仿宋_GB2312" w:cs="Times New Roman"/>
          <w:kern w:val="2"/>
          <w:sz w:val="32"/>
          <w:szCs w:val="32"/>
          <w:lang w:val="en-US" w:eastAsia="zh-CN"/>
        </w:rPr>
        <w:t>3</w:t>
      </w:r>
      <w:r>
        <w:rPr>
          <w:rFonts w:hint="eastAsia" w:ascii="仿宋_GB2312" w:hAnsi="Calibri" w:eastAsia="仿宋_GB2312" w:cs="Times New Roman"/>
          <w:kern w:val="2"/>
          <w:sz w:val="32"/>
          <w:szCs w:val="32"/>
          <w:lang w:val="en-US" w:eastAsia="zh-CN"/>
        </w:rPr>
        <w:t>年4月21日至5月25日，对本项目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整理底稿、撰写报告、结果应用：对前三个阶段涉及到统计资料、问卷调查表、制度文件以及其他与项目相关的业务、财务资料连同最后的绩效评价报告进行整理，对外进行报告报送及公开，针对绩效评价中发现的问题，要求相关部门进行整改，计财处、纪检监察部门负责整改落实与监督。</w:t>
      </w:r>
    </w:p>
    <w:bookmarkEnd w:id="6"/>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8" w:name="_Toc28847"/>
      <w:r>
        <w:rPr>
          <w:rFonts w:hint="eastAsia" w:ascii="楷体_GB2312" w:hAnsi="楷体_GB2312" w:eastAsia="楷体_GB2312" w:cs="楷体_GB2312"/>
          <w:kern w:val="2"/>
          <w:sz w:val="32"/>
          <w:szCs w:val="32"/>
          <w:lang w:val="en-US" w:eastAsia="zh-CN"/>
        </w:rPr>
        <w:t>（五）本次绩效评价的局限性</w:t>
      </w:r>
      <w:bookmarkEnd w:id="8"/>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zh-CN" w:eastAsia="zh-CN"/>
        </w:rPr>
      </w:pPr>
      <w:r>
        <w:rPr>
          <w:rFonts w:hint="eastAsia" w:ascii="仿宋_GB2312" w:hAnsi="Calibri" w:eastAsia="仿宋_GB2312" w:cs="Times New Roman"/>
          <w:kern w:val="2"/>
          <w:sz w:val="32"/>
          <w:szCs w:val="32"/>
          <w:lang w:val="zh-CN" w:eastAsia="zh-CN"/>
        </w:rPr>
        <w:t>本次评价存在一定的局限性，一是收集到相关证据不全面、质量不高；二是因时间限制，评价小组没有重新收集数据，而是利用相关处室收集的数据，数据的不一定完全可信；三是由于评价组水平有限，使用的评价方法不够全面，某些评价方法（如行业分析法、历史比较法、横向对比法等）没有实施，影响了评价报告的质量。</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kern w:val="2"/>
          <w:sz w:val="32"/>
          <w:szCs w:val="32"/>
          <w:lang w:val="zh-CN" w:eastAsia="zh-CN"/>
        </w:rPr>
      </w:pPr>
      <w:bookmarkStart w:id="9" w:name="_Toc1613"/>
      <w:r>
        <w:rPr>
          <w:rFonts w:hint="eastAsia" w:ascii="黑体" w:hAnsi="黑体" w:eastAsia="黑体" w:cs="黑体"/>
          <w:kern w:val="2"/>
          <w:sz w:val="32"/>
          <w:szCs w:val="32"/>
          <w:lang w:val="zh-CN" w:eastAsia="zh-CN"/>
        </w:rPr>
        <w:t>三、评价结论和绩效分析</w:t>
      </w:r>
      <w:bookmarkEnd w:id="9"/>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10" w:name="_Toc7895"/>
      <w:r>
        <w:rPr>
          <w:rFonts w:hint="eastAsia" w:ascii="楷体_GB2312" w:hAnsi="楷体_GB2312" w:eastAsia="楷体_GB2312" w:cs="楷体_GB2312"/>
          <w:kern w:val="2"/>
          <w:sz w:val="32"/>
          <w:szCs w:val="32"/>
          <w:lang w:val="en-US" w:eastAsia="zh-CN"/>
        </w:rPr>
        <w:t>（一）评价结论</w:t>
      </w:r>
      <w:bookmarkEnd w:id="10"/>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pP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1.评价结果</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pPr>
      <w:bookmarkStart w:id="11" w:name="_Hlk514328959"/>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通过对残疾人综合服务中心202</w:t>
      </w:r>
      <w:r>
        <w:rPr>
          <w:rFonts w:hint="eastAsia" w:ascii="仿宋_GB2312" w:eastAsia="仿宋_GB2312" w:cs="Times New Roman"/>
          <w:color w:val="000000" w:themeColor="text1"/>
          <w:kern w:val="2"/>
          <w:sz w:val="32"/>
          <w:szCs w:val="32"/>
          <w:lang w:val="en-US" w:eastAsia="zh-CN"/>
          <w14:textFill>
            <w14:solidFill>
              <w14:schemeClr w14:val="tx1"/>
            </w14:solidFill>
          </w14:textFill>
        </w:rPr>
        <w:t>2</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年残疾人职业技能培训及就业服务项目支出决策、管理、绩效三个方面的四级指标进行评价、打分，最终自评得分9</w:t>
      </w:r>
      <w:r>
        <w:rPr>
          <w:rFonts w:hint="eastAsia" w:ascii="仿宋_GB2312" w:eastAsia="仿宋_GB2312" w:cs="Times New Roman"/>
          <w:color w:val="000000" w:themeColor="text1"/>
          <w:kern w:val="2"/>
          <w:sz w:val="32"/>
          <w:szCs w:val="32"/>
          <w:lang w:val="en-US" w:eastAsia="zh-CN"/>
          <w14:textFill>
            <w14:solidFill>
              <w14:schemeClr w14:val="tx1"/>
            </w14:solidFill>
          </w14:textFill>
        </w:rPr>
        <w:t>2</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.00分，评定等级为优。</w:t>
      </w:r>
    </w:p>
    <w:p>
      <w:pPr>
        <w:keepNext w:val="0"/>
        <w:keepLines w:val="0"/>
        <w:pageBreakBefore w:val="0"/>
        <w:kinsoku/>
        <w:wordWrap/>
        <w:bidi w:val="0"/>
        <w:snapToGrid/>
        <w:spacing w:line="560" w:lineRule="exact"/>
        <w:jc w:val="center"/>
        <w:rPr>
          <w:rFonts w:ascii="Arial Narrow" w:hAnsi="Arial Narrow" w:eastAsia="仿宋_GB2312"/>
          <w:b/>
          <w:bCs/>
          <w:color w:val="0C0C0C"/>
          <w:sz w:val="28"/>
          <w:szCs w:val="28"/>
          <w:highlight w:val="none"/>
        </w:rPr>
      </w:pPr>
      <w:r>
        <w:rPr>
          <w:rFonts w:hint="eastAsia" w:ascii="Arial Narrow" w:hAnsi="Arial Narrow" w:eastAsia="仿宋_GB2312"/>
          <w:b/>
          <w:bCs/>
          <w:color w:val="0C0C0C"/>
          <w:sz w:val="28"/>
          <w:szCs w:val="28"/>
          <w:highlight w:val="none"/>
        </w:rPr>
        <w:t>项目绩效指标体系得分情况</w:t>
      </w:r>
    </w:p>
    <w:tbl>
      <w:tblPr>
        <w:tblStyle w:val="8"/>
        <w:tblW w:w="84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5"/>
        <w:gridCol w:w="2557"/>
        <w:gridCol w:w="3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55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权重分</w:t>
            </w:r>
          </w:p>
        </w:tc>
        <w:tc>
          <w:tcPr>
            <w:tcW w:w="301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A项目决策</w:t>
            </w:r>
          </w:p>
        </w:tc>
        <w:tc>
          <w:tcPr>
            <w:tcW w:w="255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30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B项目管理</w:t>
            </w:r>
          </w:p>
        </w:tc>
        <w:tc>
          <w:tcPr>
            <w:tcW w:w="255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30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C项目绩效</w:t>
            </w:r>
          </w:p>
        </w:tc>
        <w:tc>
          <w:tcPr>
            <w:tcW w:w="255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30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5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301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bidi w:val="0"/>
              <w:snapToGrid/>
              <w:spacing w:line="560" w:lineRule="exact"/>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92.00 </w:t>
            </w:r>
          </w:p>
        </w:tc>
      </w:tr>
    </w:tbl>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2.主要绩效</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项目完成全年预定的绩效目标，通过残疾人职业技能培训及就业服务工作的开展，结合对残疾人本身职业技能的实际情况，202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年对残疾人开展职业技能培训及就业服务工作，共计使用经费</w:t>
      </w:r>
      <w:r>
        <w:rPr>
          <w:rFonts w:hint="eastAsia" w:ascii="仿宋_GB2312" w:hAnsi="仿宋" w:eastAsia="仿宋_GB2312" w:cs="仿宋_GB2312"/>
          <w:b w:val="0"/>
          <w:bCs w:val="0"/>
          <w:kern w:val="2"/>
          <w:sz w:val="32"/>
          <w:szCs w:val="32"/>
          <w:lang w:val="en-US" w:eastAsia="zh-CN" w:bidi="ar-SA"/>
        </w:rPr>
        <w:t>82.050854万元</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残疾人职业技能培训及就业服务工作的开展促进和引导了残疾人就业，同时提升了残疾人的社会生活技能，为更多的残疾人提供发展机会。</w:t>
      </w:r>
    </w:p>
    <w:bookmarkEnd w:id="11"/>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12" w:name="_Toc17464"/>
      <w:r>
        <w:rPr>
          <w:rFonts w:hint="eastAsia" w:ascii="楷体_GB2312" w:hAnsi="楷体_GB2312" w:eastAsia="楷体_GB2312" w:cs="楷体_GB2312"/>
          <w:kern w:val="2"/>
          <w:sz w:val="32"/>
          <w:szCs w:val="32"/>
          <w:lang w:val="en-US" w:eastAsia="zh-CN"/>
        </w:rPr>
        <w:t>（二）具体绩效分析</w:t>
      </w:r>
      <w:bookmarkEnd w:id="12"/>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对照绩效评价指标体系逐项进行分析、评价并打分，各绩效指标评价情况如下（具体评分情况详见附表1：20</w:t>
      </w:r>
      <w:r>
        <w:rPr>
          <w:rFonts w:hint="eastAsia" w:ascii="仿宋_GB2312" w:eastAsia="仿宋_GB2312" w:cs="Times New Roman"/>
          <w:kern w:val="2"/>
          <w:sz w:val="32"/>
          <w:szCs w:val="32"/>
          <w:lang w:val="en-US" w:eastAsia="zh-CN"/>
        </w:rPr>
        <w:t>21</w:t>
      </w:r>
      <w:r>
        <w:rPr>
          <w:rFonts w:hint="eastAsia" w:ascii="仿宋_GB2312" w:hAnsi="Calibri" w:eastAsia="仿宋_GB2312" w:cs="Times New Roman"/>
          <w:kern w:val="2"/>
          <w:sz w:val="32"/>
          <w:szCs w:val="32"/>
          <w:lang w:val="en-US" w:eastAsia="zh-CN"/>
        </w:rPr>
        <w:t>年残疾人职业技能培训及就业服务项目支出绩效指标体系及评分表）。</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1.项目决策（满分20分，评价得分</w:t>
      </w:r>
      <w:r>
        <w:rPr>
          <w:rFonts w:hint="eastAsia" w:ascii="仿宋_GB2312" w:eastAsia="仿宋_GB2312" w:cs="Times New Roman"/>
          <w:kern w:val="2"/>
          <w:sz w:val="32"/>
          <w:szCs w:val="32"/>
          <w:lang w:val="en-US" w:eastAsia="zh-CN"/>
        </w:rPr>
        <w:t>20</w:t>
      </w:r>
      <w:r>
        <w:rPr>
          <w:rFonts w:hint="eastAsia" w:ascii="仿宋_GB2312" w:hAnsi="Calibri" w:eastAsia="仿宋_GB2312" w:cs="Times New Roman"/>
          <w:kern w:val="2"/>
          <w:sz w:val="32"/>
          <w:szCs w:val="32"/>
          <w:lang w:val="en-US" w:eastAsia="zh-CN"/>
        </w:rPr>
        <w:t>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（1）项目立项</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为加快落实《昆明市人民政府办公室关于印发&lt;昆明市职业技能提升行动实施办法（2019-2021年）&gt;的通知》（昆政办〔2019〕93号）、《昆明市人民政府关于加快推进残疾人小康进程的实施意见》等文件要求，提高残疾人自身素质，让广大渴望就业的残疾人具有一技之长，能够自食其力，进一步解决残疾人就业压力</w:t>
      </w:r>
      <w:r>
        <w:rPr>
          <w:rFonts w:hint="eastAsia" w:ascii="仿宋_GB2312" w:eastAsia="仿宋_GB2312" w:cs="Times New Roman"/>
          <w:kern w:val="2"/>
          <w:sz w:val="32"/>
          <w:szCs w:val="32"/>
          <w:lang w:val="en-US" w:eastAsia="zh-CN"/>
        </w:rPr>
        <w:t>。</w:t>
      </w:r>
      <w:r>
        <w:rPr>
          <w:rFonts w:hint="eastAsia" w:ascii="仿宋_GB2312" w:hAnsi="Calibri" w:eastAsia="仿宋_GB2312" w:cs="Times New Roman"/>
          <w:kern w:val="2"/>
          <w:sz w:val="32"/>
          <w:szCs w:val="32"/>
          <w:lang w:val="en-US" w:eastAsia="zh-CN"/>
        </w:rPr>
        <w:t>昆明市残疾人综合服务中心积极开展残疾人职业技能培训和就业服务工作，项目立项符合规定。</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（2）项目目标</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项目设立了绩效目标。具体目标见第一章（二）。</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2.项目管理</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（满分20分，评价得分</w:t>
      </w:r>
      <w:r>
        <w:rPr>
          <w:rFonts w:hint="eastAsia" w:ascii="仿宋_GB2312" w:eastAsia="仿宋_GB2312" w:cs="Times New Roman"/>
          <w:color w:val="000000" w:themeColor="text1"/>
          <w:kern w:val="2"/>
          <w:sz w:val="32"/>
          <w:szCs w:val="32"/>
          <w:lang w:val="en-US" w:eastAsia="zh-CN"/>
          <w14:textFill>
            <w14:solidFill>
              <w14:schemeClr w14:val="tx1"/>
            </w14:solidFill>
          </w14:textFill>
        </w:rPr>
        <w:t>19</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（1）投入管理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①预算批复及调整情况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2022年年初，根据市财政局回复意见，昆明市残疾人综合服务中心2022年职业技能培训及就业服务项目经费预算批复经费97.361万元。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②项目资金到位情况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年，本项目财政资金拨款</w:t>
      </w:r>
      <w:r>
        <w:rPr>
          <w:rFonts w:hint="eastAsia" w:ascii="仿宋_GB2312" w:eastAsia="仿宋_GB2312" w:cs="Times New Roman"/>
          <w:kern w:val="2"/>
          <w:sz w:val="32"/>
          <w:szCs w:val="32"/>
          <w:lang w:val="en-US" w:eastAsia="zh-CN"/>
        </w:rPr>
        <w:t>97.361</w:t>
      </w:r>
      <w:r>
        <w:rPr>
          <w:rFonts w:hint="eastAsia" w:ascii="仿宋_GB2312" w:hAnsi="Calibri" w:eastAsia="仿宋_GB2312" w:cs="Times New Roman"/>
          <w:kern w:val="2"/>
          <w:sz w:val="32"/>
          <w:szCs w:val="32"/>
          <w:lang w:val="en-US" w:eastAsia="zh-CN"/>
        </w:rPr>
        <w:t>万元，于当年到位</w:t>
      </w:r>
      <w:r>
        <w:rPr>
          <w:rFonts w:hint="eastAsia" w:ascii="仿宋_GB2312" w:eastAsia="仿宋_GB2312" w:cs="Times New Roman"/>
          <w:kern w:val="2"/>
          <w:sz w:val="32"/>
          <w:szCs w:val="32"/>
          <w:lang w:val="en-US" w:eastAsia="zh-CN"/>
        </w:rPr>
        <w:t>97.361万元</w:t>
      </w:r>
      <w:r>
        <w:rPr>
          <w:rFonts w:hint="eastAsia" w:ascii="仿宋_GB2312" w:hAnsi="Calibri" w:eastAsia="仿宋_GB2312" w:cs="Times New Roman"/>
          <w:kern w:val="2"/>
          <w:sz w:val="32"/>
          <w:szCs w:val="32"/>
          <w:lang w:val="en-US" w:eastAsia="zh-CN"/>
        </w:rPr>
        <w:t>，到位率100%。</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③资金支出及跟踪管理情况</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sz w:val="32"/>
          <w:szCs w:val="32"/>
        </w:rPr>
      </w:pPr>
      <w:r>
        <w:rPr>
          <w:rFonts w:hint="eastAsia" w:ascii="仿宋_GB2312" w:hAnsi="Calibri"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年，本项目实际支出</w:t>
      </w:r>
      <w:r>
        <w:rPr>
          <w:rFonts w:hint="eastAsia" w:ascii="仿宋_GB2312" w:hAnsi="仿宋" w:eastAsia="仿宋_GB2312" w:cs="仿宋_GB2312"/>
          <w:b w:val="0"/>
          <w:bCs w:val="0"/>
          <w:kern w:val="2"/>
          <w:sz w:val="32"/>
          <w:szCs w:val="32"/>
          <w:lang w:val="en-US" w:eastAsia="zh-CN" w:bidi="ar-SA"/>
        </w:rPr>
        <w:t>82.050854万元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84.27</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从项目支出明细看，残疾人职业技能培训及就业服务项目经费主要用于开展残疾人职业技能培训及就业服务工作的相关费用，详细情况如下：</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Arial Narrow" w:hAnsi="Arial Narrow" w:eastAsia="仿宋_GB2312"/>
          <w:b/>
          <w:bCs/>
          <w:color w:val="000000"/>
          <w:sz w:val="32"/>
          <w:szCs w:val="32"/>
          <w:lang w:val="en-US" w:eastAsia="zh-CN"/>
        </w:rPr>
      </w:pPr>
      <w:r>
        <w:rPr>
          <w:rFonts w:hint="eastAsia" w:ascii="仿宋_GB2312" w:hAnsi="Calibri" w:eastAsia="仿宋_GB2312" w:cs="Times New Roman"/>
          <w:b/>
          <w:bCs/>
          <w:kern w:val="2"/>
          <w:sz w:val="32"/>
          <w:szCs w:val="32"/>
          <w:lang w:val="en-US" w:eastAsia="zh-CN"/>
        </w:rPr>
        <w:t>202</w:t>
      </w:r>
      <w:r>
        <w:rPr>
          <w:rFonts w:hint="eastAsia" w:ascii="仿宋_GB2312" w:eastAsia="仿宋_GB2312" w:cs="Times New Roman"/>
          <w:b/>
          <w:bCs/>
          <w:kern w:val="2"/>
          <w:sz w:val="32"/>
          <w:szCs w:val="32"/>
          <w:lang w:val="en-US" w:eastAsia="zh-CN"/>
        </w:rPr>
        <w:t>2</w:t>
      </w:r>
      <w:r>
        <w:rPr>
          <w:rFonts w:ascii="Arial Narrow" w:hAnsi="Arial Narrow" w:eastAsia="仿宋_GB2312"/>
          <w:b/>
          <w:bCs/>
          <w:color w:val="000000"/>
          <w:sz w:val="32"/>
          <w:szCs w:val="32"/>
        </w:rPr>
        <w:t>年度</w:t>
      </w:r>
      <w:r>
        <w:rPr>
          <w:rFonts w:hint="eastAsia" w:ascii="Arial Narrow" w:hAnsi="Arial Narrow" w:eastAsia="仿宋_GB2312"/>
          <w:b/>
          <w:bCs/>
          <w:color w:val="000000"/>
          <w:sz w:val="32"/>
          <w:szCs w:val="32"/>
        </w:rPr>
        <w:t>残疾人综合服务中心职业技能培训</w:t>
      </w:r>
      <w:r>
        <w:rPr>
          <w:rFonts w:hint="eastAsia" w:ascii="Arial Narrow" w:hAnsi="Arial Narrow" w:eastAsia="仿宋_GB2312"/>
          <w:b/>
          <w:bCs/>
          <w:color w:val="000000"/>
          <w:sz w:val="32"/>
          <w:szCs w:val="32"/>
          <w:lang w:val="en-US" w:eastAsia="zh-CN"/>
        </w:rPr>
        <w:t>级就业服务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Arial Narrow" w:hAnsi="Arial Narrow" w:eastAsia="仿宋_GB2312"/>
          <w:b/>
          <w:bCs/>
          <w:color w:val="000000"/>
          <w:sz w:val="32"/>
          <w:szCs w:val="32"/>
        </w:rPr>
      </w:pPr>
      <w:r>
        <w:rPr>
          <w:rFonts w:hint="eastAsia" w:ascii="Arial Narrow" w:hAnsi="Arial Narrow" w:eastAsia="仿宋_GB2312"/>
          <w:b/>
          <w:bCs/>
          <w:color w:val="000000"/>
          <w:sz w:val="32"/>
          <w:szCs w:val="32"/>
          <w:lang w:val="en-US" w:eastAsia="zh-CN"/>
        </w:rPr>
        <w:t>项目支出</w:t>
      </w:r>
      <w:r>
        <w:rPr>
          <w:rFonts w:hint="eastAsia" w:ascii="Arial Narrow" w:hAnsi="Arial Narrow" w:eastAsia="仿宋_GB2312"/>
          <w:b/>
          <w:bCs/>
          <w:color w:val="000000"/>
          <w:sz w:val="32"/>
          <w:szCs w:val="32"/>
        </w:rPr>
        <w:t>明细表</w:t>
      </w:r>
    </w:p>
    <w:p>
      <w:pPr>
        <w:ind w:firstLine="480" w:firstLineChars="200"/>
        <w:jc w:val="right"/>
        <w:rPr>
          <w:rFonts w:hint="eastAsia" w:ascii="Arial Narrow" w:hAnsi="Arial Narrow" w:eastAsia="仿宋_GB2312"/>
          <w:color w:val="000000"/>
          <w:sz w:val="24"/>
          <w:szCs w:val="24"/>
        </w:rPr>
      </w:pPr>
      <w:r>
        <w:rPr>
          <w:rFonts w:hint="eastAsia" w:ascii="Arial Narrow" w:hAnsi="Arial Narrow" w:eastAsia="仿宋_GB2312"/>
          <w:color w:val="000000"/>
          <w:sz w:val="24"/>
          <w:szCs w:val="24"/>
        </w:rPr>
        <w:t>单位：</w:t>
      </w:r>
      <w:r>
        <w:rPr>
          <w:rFonts w:hint="eastAsia" w:ascii="Arial Narrow" w:hAnsi="Arial Narrow" w:eastAsia="仿宋_GB2312"/>
          <w:color w:val="000000"/>
          <w:sz w:val="24"/>
          <w:szCs w:val="24"/>
          <w:lang w:val="en-US" w:eastAsia="zh-CN"/>
        </w:rPr>
        <w:t>万</w:t>
      </w:r>
      <w:r>
        <w:rPr>
          <w:rFonts w:hint="eastAsia" w:ascii="Arial Narrow" w:hAnsi="Arial Narrow" w:eastAsia="仿宋_GB2312"/>
          <w:color w:val="000000"/>
          <w:sz w:val="24"/>
          <w:szCs w:val="24"/>
        </w:rPr>
        <w:t>元</w:t>
      </w:r>
    </w:p>
    <w:tbl>
      <w:tblPr>
        <w:tblStyle w:val="9"/>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824"/>
        <w:gridCol w:w="1253"/>
        <w:gridCol w:w="1309"/>
        <w:gridCol w:w="1364"/>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jc w:val="center"/>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序号</w:t>
            </w:r>
          </w:p>
        </w:tc>
        <w:tc>
          <w:tcPr>
            <w:tcW w:w="2824" w:type="dxa"/>
            <w:noWrap w:val="0"/>
            <w:vAlign w:val="top"/>
          </w:tcPr>
          <w:p>
            <w:pPr>
              <w:jc w:val="center"/>
              <w:rPr>
                <w:rFonts w:hint="default"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项目名称</w:t>
            </w:r>
          </w:p>
        </w:tc>
        <w:tc>
          <w:tcPr>
            <w:tcW w:w="1253" w:type="dxa"/>
            <w:noWrap w:val="0"/>
            <w:vAlign w:val="top"/>
          </w:tcPr>
          <w:p>
            <w:pPr>
              <w:jc w:val="center"/>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下达金额</w:t>
            </w:r>
          </w:p>
        </w:tc>
        <w:tc>
          <w:tcPr>
            <w:tcW w:w="1309" w:type="dxa"/>
            <w:noWrap w:val="0"/>
            <w:vAlign w:val="top"/>
          </w:tcPr>
          <w:p>
            <w:pPr>
              <w:jc w:val="center"/>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使用经费</w:t>
            </w:r>
          </w:p>
        </w:tc>
        <w:tc>
          <w:tcPr>
            <w:tcW w:w="1364" w:type="dxa"/>
            <w:noWrap w:val="0"/>
            <w:vAlign w:val="top"/>
          </w:tcPr>
          <w:p>
            <w:pPr>
              <w:jc w:val="center"/>
              <w:rPr>
                <w:rFonts w:hint="default"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结余经费</w:t>
            </w:r>
          </w:p>
        </w:tc>
        <w:tc>
          <w:tcPr>
            <w:tcW w:w="2698" w:type="dxa"/>
            <w:noWrap w:val="0"/>
            <w:vAlign w:val="top"/>
          </w:tcPr>
          <w:p>
            <w:pPr>
              <w:jc w:val="center"/>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1</w:t>
            </w:r>
          </w:p>
        </w:tc>
        <w:tc>
          <w:tcPr>
            <w:tcW w:w="282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对各就业服务项目和企业的慰问、指导、检查</w:t>
            </w:r>
          </w:p>
        </w:tc>
        <w:tc>
          <w:tcPr>
            <w:tcW w:w="125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1.56</w:t>
            </w:r>
          </w:p>
        </w:tc>
        <w:tc>
          <w:tcPr>
            <w:tcW w:w="130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36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1.56</w:t>
            </w:r>
          </w:p>
        </w:tc>
        <w:tc>
          <w:tcPr>
            <w:tcW w:w="2698"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该项目使用办公经费，未使用此项目经费。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2</w:t>
            </w:r>
          </w:p>
        </w:tc>
        <w:tc>
          <w:tcPr>
            <w:tcW w:w="282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残疾人就业服务机构工作人员培训</w:t>
            </w:r>
          </w:p>
        </w:tc>
        <w:tc>
          <w:tcPr>
            <w:tcW w:w="125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5.271</w:t>
            </w:r>
          </w:p>
        </w:tc>
        <w:tc>
          <w:tcPr>
            <w:tcW w:w="130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Hans"/>
              </w:rPr>
              <w:t>0</w:t>
            </w:r>
            <w:r>
              <w:rPr>
                <w:rFonts w:hint="eastAsia" w:ascii="Times New Roman" w:hAnsi="Times New Roman" w:eastAsia="仿宋_GB2312" w:cs="Times New Roman"/>
                <w:color w:val="000000"/>
                <w:sz w:val="24"/>
                <w:szCs w:val="24"/>
                <w:lang w:val="en-US" w:eastAsia="zh-Hans"/>
              </w:rPr>
              <w:t>.</w:t>
            </w:r>
            <w:r>
              <w:rPr>
                <w:rFonts w:hint="default" w:ascii="Times New Roman" w:hAnsi="Times New Roman" w:eastAsia="仿宋_GB2312" w:cs="Times New Roman"/>
                <w:color w:val="000000"/>
                <w:sz w:val="24"/>
                <w:szCs w:val="24"/>
                <w:lang w:val="en-US" w:eastAsia="zh-Hans"/>
              </w:rPr>
              <w:t>9735</w:t>
            </w:r>
          </w:p>
        </w:tc>
        <w:tc>
          <w:tcPr>
            <w:tcW w:w="136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4.2975</w:t>
            </w:r>
          </w:p>
        </w:tc>
        <w:tc>
          <w:tcPr>
            <w:tcW w:w="2698"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both"/>
              <w:textAlignment w:val="auto"/>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3</w:t>
            </w:r>
          </w:p>
        </w:tc>
        <w:tc>
          <w:tcPr>
            <w:tcW w:w="282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残疾人职业技能培训</w:t>
            </w:r>
          </w:p>
        </w:tc>
        <w:tc>
          <w:tcPr>
            <w:tcW w:w="125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64.53</w:t>
            </w:r>
          </w:p>
        </w:tc>
        <w:tc>
          <w:tcPr>
            <w:tcW w:w="130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63.6</w:t>
            </w:r>
          </w:p>
        </w:tc>
        <w:tc>
          <w:tcPr>
            <w:tcW w:w="136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0.93</w:t>
            </w:r>
          </w:p>
        </w:tc>
        <w:tc>
          <w:tcPr>
            <w:tcW w:w="2698"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通过公开招标，结余经费0.93万元。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4</w:t>
            </w:r>
          </w:p>
        </w:tc>
        <w:tc>
          <w:tcPr>
            <w:tcW w:w="282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eastAsia"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开展市级竞赛项目选拔工作和参加省级竞赛</w:t>
            </w:r>
          </w:p>
        </w:tc>
        <w:tc>
          <w:tcPr>
            <w:tcW w:w="125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26</w:t>
            </w:r>
          </w:p>
        </w:tc>
        <w:tc>
          <w:tcPr>
            <w:tcW w:w="130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17</w:t>
            </w:r>
            <w:r>
              <w:rPr>
                <w:rFonts w:hint="eastAsia" w:ascii="Times New Roman" w:hAnsi="Times New Roman" w:eastAsia="仿宋_GB2312" w:cs="Times New Roman"/>
                <w:color w:val="000000"/>
                <w:sz w:val="24"/>
                <w:szCs w:val="24"/>
                <w:lang w:val="en-US" w:eastAsia="zh-Hans"/>
              </w:rPr>
              <w:t>.</w:t>
            </w:r>
            <w:r>
              <w:rPr>
                <w:rFonts w:hint="default" w:ascii="Times New Roman" w:hAnsi="Times New Roman" w:eastAsia="仿宋_GB2312" w:cs="Times New Roman"/>
                <w:color w:val="000000"/>
                <w:sz w:val="24"/>
                <w:szCs w:val="24"/>
                <w:lang w:val="en-US" w:eastAsia="zh-Hans"/>
              </w:rPr>
              <w:t>47</w:t>
            </w:r>
            <w:r>
              <w:rPr>
                <w:rFonts w:hint="eastAsia" w:ascii="Times New Roman" w:hAnsi="Times New Roman" w:eastAsia="仿宋_GB2312" w:cs="Times New Roman"/>
                <w:color w:val="000000"/>
                <w:sz w:val="24"/>
                <w:szCs w:val="24"/>
                <w:lang w:val="en-US" w:eastAsia="zh-CN"/>
              </w:rPr>
              <w:t>7</w:t>
            </w:r>
            <w:r>
              <w:rPr>
                <w:rFonts w:hint="default" w:ascii="Times New Roman" w:hAnsi="Times New Roman" w:eastAsia="仿宋_GB2312" w:cs="Times New Roman"/>
                <w:color w:val="000000"/>
                <w:sz w:val="24"/>
                <w:szCs w:val="24"/>
                <w:lang w:val="en-US" w:eastAsia="zh-Hans"/>
              </w:rPr>
              <w:t>354</w:t>
            </w:r>
          </w:p>
        </w:tc>
        <w:tc>
          <w:tcPr>
            <w:tcW w:w="136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8.522646</w:t>
            </w:r>
          </w:p>
        </w:tc>
        <w:tc>
          <w:tcPr>
            <w:tcW w:w="2698"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0" w:type="dxa"/>
            <w:gridSpan w:val="2"/>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Arial Narrow" w:hAnsi="Arial Narrow" w:eastAsia="仿宋_GB2312" w:cs="Times New Roman"/>
                <w:color w:val="000000"/>
                <w:sz w:val="24"/>
                <w:szCs w:val="24"/>
                <w:lang w:val="en-US" w:eastAsia="zh-CN"/>
              </w:rPr>
            </w:pPr>
            <w:r>
              <w:rPr>
                <w:rFonts w:hint="eastAsia" w:ascii="Arial Narrow" w:hAnsi="Arial Narrow" w:eastAsia="仿宋_GB2312" w:cs="Times New Roman"/>
                <w:color w:val="000000"/>
                <w:sz w:val="24"/>
                <w:szCs w:val="24"/>
                <w:lang w:val="en-US" w:eastAsia="zh-CN"/>
              </w:rPr>
              <w:t>合计</w:t>
            </w:r>
          </w:p>
        </w:tc>
        <w:tc>
          <w:tcPr>
            <w:tcW w:w="125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97.361</w:t>
            </w:r>
          </w:p>
        </w:tc>
        <w:tc>
          <w:tcPr>
            <w:tcW w:w="130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eastAsia="仿宋_GB2312" w:cs="Times New Roman"/>
                <w:color w:val="000000"/>
                <w:sz w:val="24"/>
                <w:szCs w:val="24"/>
                <w:lang w:val="en-US" w:eastAsia="zh-CN"/>
              </w:rPr>
              <w:t>82.050854</w:t>
            </w:r>
          </w:p>
        </w:tc>
        <w:tc>
          <w:tcPr>
            <w:tcW w:w="1364"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15.310146</w:t>
            </w:r>
          </w:p>
        </w:tc>
        <w:tc>
          <w:tcPr>
            <w:tcW w:w="2698"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hint="default" w:ascii="Times New Roman" w:hAnsi="Times New Roman" w:eastAsia="仿宋_GB2312" w:cs="Times New Roman"/>
                <w:color w:val="000000"/>
                <w:sz w:val="24"/>
                <w:szCs w:val="24"/>
                <w:lang w:val="en-US" w:eastAsia="zh-CN"/>
              </w:rPr>
            </w:pPr>
          </w:p>
        </w:tc>
      </w:tr>
    </w:tbl>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（2）财务管理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市残疾人综合服务中心于2018年制定了《内控手册》，主要涵盖有预算绩效管理办法、财务收支管理办法、差旅费管理办法、公务接待管理规定、政府采购管理办法、国有资产管理办法、合同管理办法等。</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通过对项目各支出明细的收支凭证、资料调查及档案查阅，昆明市残疾人就业服务中心资金收支管理制度执行到位，内部控制规范，未发现挤占、挪用项目资金现象。</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项目实施</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default"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2022年开展2022年残疾人职业技能培训4期，开展第六届昆明市残疾人职业技能竞赛，参加第七届云南省残疾人职业技能竞赛，开展残疾人就业服务机构工作人员培训1期，开展对各就业服务项目的审核、指导、检查工作。</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3.项目绩效</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（满分60分，评价得分</w:t>
      </w:r>
      <w:r>
        <w:rPr>
          <w:rFonts w:hint="eastAsia" w:ascii="仿宋_GB2312" w:eastAsia="仿宋_GB2312" w:cs="Times New Roman"/>
          <w:color w:val="000000" w:themeColor="text1"/>
          <w:kern w:val="2"/>
          <w:sz w:val="32"/>
          <w:szCs w:val="32"/>
          <w:lang w:val="en-US" w:eastAsia="zh-CN"/>
          <w14:textFill>
            <w14:solidFill>
              <w14:schemeClr w14:val="tx1"/>
            </w14:solidFill>
          </w14:textFill>
        </w:rPr>
        <w:t>53</w:t>
      </w:r>
      <w:r>
        <w:rPr>
          <w:rFonts w:hint="eastAsia" w:ascii="仿宋_GB2312" w:hAnsi="Calibri" w:eastAsia="仿宋_GB2312" w:cs="Times New Roman"/>
          <w:color w:val="000000" w:themeColor="text1"/>
          <w:kern w:val="2"/>
          <w:sz w:val="32"/>
          <w:szCs w:val="32"/>
          <w:lang w:val="en-US" w:eastAsia="zh-CN"/>
          <w14:textFill>
            <w14:solidFill>
              <w14:schemeClr w14:val="tx1"/>
            </w14:solidFill>
          </w14:textFill>
        </w:rPr>
        <w:t>分）</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（1）项目产出</w:t>
      </w:r>
    </w:p>
    <w:p>
      <w:pPr>
        <w:keepNext w:val="0"/>
        <w:keepLines w:val="0"/>
        <w:pageBreakBefore w:val="0"/>
        <w:numPr>
          <w:ilvl w:val="0"/>
          <w:numId w:val="0"/>
        </w:numPr>
        <w:kinsoku/>
        <w:wordWrap/>
        <w:topLinePunct w:val="0"/>
        <w:bidi w:val="0"/>
        <w:snapToGrid/>
        <w:spacing w:line="560" w:lineRule="exact"/>
        <w:ind w:firstLine="640"/>
        <w:jc w:val="left"/>
        <w:textAlignment w:val="auto"/>
        <w:rPr>
          <w:rFonts w:hint="eastAsia" w:ascii="仿宋_GB2312" w:hAnsi="Calibri" w:eastAsia="仿宋_GB2312" w:cs="Times New Roman"/>
          <w:kern w:val="2"/>
          <w:sz w:val="32"/>
          <w:szCs w:val="32"/>
          <w:lang w:val="en-US" w:eastAsia="zh-CN"/>
        </w:rPr>
      </w:pPr>
      <w:r>
        <w:rPr>
          <w:rFonts w:hint="eastAsia" w:ascii="仿宋_GB2312" w:hAnsi="仿宋" w:eastAsia="仿宋_GB2312" w:cs="仿宋_GB2312"/>
          <w:b w:val="0"/>
          <w:bCs w:val="0"/>
          <w:kern w:val="2"/>
          <w:sz w:val="32"/>
          <w:szCs w:val="32"/>
          <w:lang w:val="en-US" w:eastAsia="zh-CN" w:bidi="ar-SA"/>
        </w:rPr>
        <w:t>举办残疾人职业技能培训4期，参加残疾人职业技能培训的残疾人114人，举办第六届昆明市残疾人职业技能竞赛1期，</w:t>
      </w:r>
      <w:r>
        <w:rPr>
          <w:rFonts w:hint="eastAsia" w:ascii="仿宋_GB2312" w:hAnsi="仿宋" w:eastAsia="仿宋_GB2312" w:cs="仿宋_GB2312"/>
          <w:b w:val="0"/>
          <w:bCs w:val="0"/>
          <w:color w:val="000000" w:themeColor="text1"/>
          <w:kern w:val="2"/>
          <w:sz w:val="32"/>
          <w:szCs w:val="32"/>
          <w:lang w:val="en-US" w:eastAsia="zh-CN" w:bidi="ar-SA"/>
          <w14:textFill>
            <w14:solidFill>
              <w14:schemeClr w14:val="tx1"/>
            </w14:solidFill>
          </w14:textFill>
        </w:rPr>
        <w:t>参加第六届昆明市残疾人职业技能竞赛人数60余人，残疾人职业技能培训合格率为100%，</w:t>
      </w:r>
      <w:r>
        <w:rPr>
          <w:rFonts w:hint="eastAsia" w:ascii="仿宋_GB2312" w:hAnsi="仿宋" w:eastAsia="仿宋_GB2312" w:cs="仿宋_GB2312"/>
          <w:b w:val="0"/>
          <w:bCs w:val="0"/>
          <w:kern w:val="2"/>
          <w:sz w:val="32"/>
          <w:szCs w:val="32"/>
          <w:lang w:val="en-US" w:eastAsia="zh-CN" w:bidi="ar-SA"/>
        </w:rPr>
        <w:t>2022年8月21日完成残疾人职业技能培训，2022年7月2日第六届昆明市残疾人职业技能竞赛和参加第七届云南省残疾人职业技能竞赛，残疾人职业技能培训使用经费63.6万元，举办第六届昆明市残疾人职业技能竞赛和参加第七届云南省残疾人职业技能竞赛成本实际使用经费</w:t>
      </w:r>
      <w:r>
        <w:rPr>
          <w:rFonts w:hint="default" w:ascii="仿宋_GB2312" w:hAnsi="仿宋" w:eastAsia="仿宋_GB2312" w:cs="仿宋_GB2312"/>
          <w:b w:val="0"/>
          <w:bCs w:val="0"/>
          <w:kern w:val="2"/>
          <w:sz w:val="32"/>
          <w:szCs w:val="32"/>
          <w:lang w:val="en-US" w:eastAsia="zh-CN" w:bidi="ar-SA"/>
        </w:rPr>
        <w:t>17</w:t>
      </w:r>
      <w:r>
        <w:rPr>
          <w:rFonts w:hint="eastAsia" w:ascii="仿宋_GB2312" w:hAnsi="仿宋" w:eastAsia="仿宋_GB2312" w:cs="仿宋_GB2312"/>
          <w:b w:val="0"/>
          <w:bCs w:val="0"/>
          <w:kern w:val="2"/>
          <w:sz w:val="32"/>
          <w:szCs w:val="32"/>
          <w:lang w:val="en-US" w:eastAsia="zh-Hans" w:bidi="ar-SA"/>
        </w:rPr>
        <w:t>.</w:t>
      </w:r>
      <w:r>
        <w:rPr>
          <w:rFonts w:hint="default" w:ascii="仿宋_GB2312" w:hAnsi="仿宋" w:eastAsia="仿宋_GB2312" w:cs="仿宋_GB2312"/>
          <w:b w:val="0"/>
          <w:bCs w:val="0"/>
          <w:kern w:val="2"/>
          <w:sz w:val="32"/>
          <w:szCs w:val="32"/>
          <w:lang w:val="en-US" w:eastAsia="zh-Hans" w:bidi="ar-SA"/>
        </w:rPr>
        <w:t>477354</w:t>
      </w:r>
      <w:r>
        <w:rPr>
          <w:rFonts w:hint="eastAsia" w:ascii="仿宋_GB2312" w:hAnsi="仿宋" w:eastAsia="仿宋_GB2312" w:cs="仿宋_GB2312"/>
          <w:b w:val="0"/>
          <w:bCs w:val="0"/>
          <w:kern w:val="2"/>
          <w:sz w:val="32"/>
          <w:szCs w:val="32"/>
          <w:lang w:val="en-US" w:eastAsia="zh-CN" w:bidi="ar-SA"/>
        </w:rPr>
        <w:t>万元。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（2）项目效益</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13" w:name="_Toc378518156"/>
      <w:r>
        <w:rPr>
          <w:rFonts w:hint="eastAsia" w:ascii="仿宋_GB2312" w:hAnsi="Calibri" w:eastAsia="仿宋_GB2312" w:cs="Times New Roman"/>
          <w:kern w:val="2"/>
          <w:sz w:val="32"/>
          <w:szCs w:val="32"/>
          <w:lang w:val="zh-CN" w:eastAsia="zh-CN"/>
        </w:rPr>
        <w:t>通过本项目实施，进一步促进和帮助在就业年龄段且有就业愿望的未就业残疾人，</w:t>
      </w:r>
      <w:r>
        <w:rPr>
          <w:rFonts w:hint="eastAsia" w:ascii="仿宋_GB2312" w:hAnsi="Calibri" w:eastAsia="仿宋_GB2312" w:cs="Times New Roman"/>
          <w:kern w:val="2"/>
          <w:sz w:val="32"/>
          <w:szCs w:val="32"/>
          <w:lang w:val="en-US" w:eastAsia="zh-CN"/>
        </w:rPr>
        <w:t>进行残疾人职业技能培训从而提高残疾人的就业能力。同时</w:t>
      </w:r>
      <w:r>
        <w:rPr>
          <w:rFonts w:hint="eastAsia" w:ascii="仿宋_GB2312" w:hAnsi="Calibri" w:eastAsia="仿宋_GB2312" w:cs="Times New Roman"/>
          <w:kern w:val="2"/>
          <w:sz w:val="32"/>
          <w:szCs w:val="32"/>
          <w:lang w:val="zh-CN" w:eastAsia="zh-CN"/>
        </w:rPr>
        <w:t>提高</w:t>
      </w:r>
      <w:r>
        <w:rPr>
          <w:rFonts w:hint="eastAsia" w:ascii="仿宋_GB2312" w:hAnsi="Calibri" w:eastAsia="仿宋_GB2312" w:cs="Times New Roman"/>
          <w:kern w:val="2"/>
          <w:sz w:val="32"/>
          <w:szCs w:val="32"/>
          <w:lang w:val="en-US" w:eastAsia="zh-CN"/>
        </w:rPr>
        <w:t>了</w:t>
      </w:r>
      <w:r>
        <w:rPr>
          <w:rFonts w:hint="eastAsia" w:ascii="仿宋_GB2312" w:hAnsi="Calibri" w:eastAsia="仿宋_GB2312" w:cs="Times New Roman"/>
          <w:kern w:val="2"/>
          <w:sz w:val="32"/>
          <w:szCs w:val="32"/>
          <w:lang w:val="zh-CN" w:eastAsia="zh-CN"/>
        </w:rPr>
        <w:t>残疾人平等充分参与社会的能力和水平。</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（3）项目满意度</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default"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群众满意</w:t>
      </w:r>
      <w:bookmarkEnd w:id="13"/>
      <w:r>
        <w:rPr>
          <w:rFonts w:hint="eastAsia" w:ascii="仿宋_GB2312" w:hAnsi="Calibri" w:eastAsia="仿宋_GB2312" w:cs="Times New Roman"/>
          <w:kern w:val="2"/>
          <w:sz w:val="32"/>
          <w:szCs w:val="32"/>
          <w:lang w:val="en-US" w:eastAsia="zh-CN"/>
        </w:rPr>
        <w:t>度调查。为做好财政资金绩效评价，了解残疾人及相关工作人员对昆明市残疾人综合服务中心2022年残疾人职业技能培训及就业服务项目支出绩效的满意度，我们设计了问卷调查，共计发放问卷114份，收回有效问卷114份，群众满意度综合得分为97.47分。问卷调查显示，问卷的10个问题中“认为培训单位在培训期间的管理工作水平如何？”问题分数相对较低。因此，本项目应该在培训期间加强管理工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昆明市</w:t>
      </w:r>
      <w:bookmarkStart w:id="14" w:name="_Hlk8547511"/>
      <w:r>
        <w:rPr>
          <w:rFonts w:hint="eastAsia" w:ascii="Times New Roman" w:hAnsi="Times New Roman" w:eastAsia="仿宋_GB2312" w:cs="Times New Roman"/>
          <w:b/>
          <w:bCs/>
          <w:color w:val="000000" w:themeColor="text1"/>
          <w:sz w:val="32"/>
          <w:szCs w:val="32"/>
          <w14:textFill>
            <w14:solidFill>
              <w14:schemeClr w14:val="tx1"/>
            </w14:solidFill>
          </w14:textFill>
        </w:rPr>
        <w:t>残疾人综合服务中</w:t>
      </w:r>
      <w:r>
        <w:rPr>
          <w:rFonts w:hint="default" w:ascii="Times New Roman" w:hAnsi="Times New Roman" w:eastAsia="仿宋_GB2312" w:cs="Times New Roman"/>
          <w:b/>
          <w:bCs/>
          <w:color w:val="000000" w:themeColor="text1"/>
          <w:sz w:val="32"/>
          <w:szCs w:val="32"/>
          <w14:textFill>
            <w14:solidFill>
              <w14:schemeClr w14:val="tx1"/>
            </w14:solidFill>
          </w14:textFill>
        </w:rPr>
        <w:t>心20</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14:textFill>
            <w14:solidFill>
              <w14:schemeClr w14:val="tx1"/>
            </w14:solidFill>
          </w14:textFill>
        </w:rPr>
        <w:t>年</w:t>
      </w:r>
      <w:bookmarkEnd w:id="14"/>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残疾人</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职业技能培训及就业服务</w:t>
      </w:r>
      <w:r>
        <w:rPr>
          <w:rFonts w:hint="eastAsia" w:ascii="Times New Roman" w:hAnsi="Times New Roman" w:eastAsia="仿宋_GB2312" w:cs="Times New Roman"/>
          <w:b/>
          <w:bCs/>
          <w:color w:val="000000" w:themeColor="text1"/>
          <w:sz w:val="32"/>
          <w:szCs w:val="32"/>
          <w14:textFill>
            <w14:solidFill>
              <w14:schemeClr w14:val="tx1"/>
            </w14:solidFill>
          </w14:textFill>
        </w:rPr>
        <w:t>项目社会公众满意度调查问卷统计表</w:t>
      </w:r>
    </w:p>
    <w:tbl>
      <w:tblPr>
        <w:tblStyle w:val="8"/>
        <w:tblW w:w="10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8"/>
        <w:gridCol w:w="1080"/>
        <w:gridCol w:w="1079"/>
        <w:gridCol w:w="1079"/>
        <w:gridCol w:w="1079"/>
        <w:gridCol w:w="1079"/>
        <w:gridCol w:w="1078"/>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30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问卷题目及选项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A</w:t>
            </w:r>
            <w:r>
              <w:rPr>
                <w:rFonts w:hint="eastAsia" w:ascii="宋体" w:hAnsi="宋体" w:eastAsia="宋体" w:cs="宋体"/>
                <w:b/>
                <w:bCs/>
                <w:i w:val="0"/>
                <w:iCs w:val="0"/>
                <w:color w:val="000000"/>
                <w:kern w:val="0"/>
                <w:sz w:val="15"/>
                <w:szCs w:val="15"/>
                <w:u w:val="none"/>
                <w:lang w:val="en-US" w:eastAsia="zh-CN" w:bidi="ar"/>
              </w:rPr>
              <w:t>（非常满意）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B</w:t>
            </w:r>
            <w:r>
              <w:rPr>
                <w:rFonts w:hint="eastAsia" w:ascii="宋体" w:hAnsi="宋体" w:eastAsia="宋体" w:cs="宋体"/>
                <w:b/>
                <w:bCs/>
                <w:i w:val="0"/>
                <w:iCs w:val="0"/>
                <w:color w:val="000000"/>
                <w:kern w:val="0"/>
                <w:sz w:val="15"/>
                <w:szCs w:val="15"/>
                <w:u w:val="none"/>
                <w:lang w:val="en-US" w:eastAsia="zh-CN" w:bidi="ar"/>
              </w:rPr>
              <w:t>（满意）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C</w:t>
            </w:r>
            <w:r>
              <w:rPr>
                <w:rFonts w:hint="eastAsia" w:ascii="宋体" w:hAnsi="宋体" w:eastAsia="宋体" w:cs="宋体"/>
                <w:b/>
                <w:bCs/>
                <w:i w:val="0"/>
                <w:iCs w:val="0"/>
                <w:color w:val="000000"/>
                <w:kern w:val="0"/>
                <w:sz w:val="15"/>
                <w:szCs w:val="15"/>
                <w:u w:val="none"/>
                <w:lang w:val="en-US" w:eastAsia="zh-CN" w:bidi="ar"/>
              </w:rPr>
              <w:t>（一般）</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D</w:t>
            </w:r>
            <w:r>
              <w:rPr>
                <w:rFonts w:hint="eastAsia" w:ascii="宋体" w:hAnsi="宋体" w:eastAsia="宋体" w:cs="宋体"/>
                <w:b/>
                <w:bCs/>
                <w:i w:val="0"/>
                <w:iCs w:val="0"/>
                <w:color w:val="000000"/>
                <w:kern w:val="0"/>
                <w:sz w:val="15"/>
                <w:szCs w:val="15"/>
                <w:u w:val="none"/>
                <w:lang w:val="en-US" w:eastAsia="zh-CN" w:bidi="ar"/>
              </w:rPr>
              <w:t>（不满意）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E</w:t>
            </w:r>
            <w:r>
              <w:rPr>
                <w:rFonts w:hint="eastAsia" w:ascii="宋体" w:hAnsi="宋体" w:eastAsia="宋体" w:cs="宋体"/>
                <w:b/>
                <w:bCs/>
                <w:i w:val="0"/>
                <w:iCs w:val="0"/>
                <w:color w:val="000000"/>
                <w:kern w:val="0"/>
                <w:sz w:val="15"/>
                <w:szCs w:val="15"/>
                <w:u w:val="none"/>
                <w:lang w:val="en-US" w:eastAsia="zh-CN" w:bidi="ar"/>
              </w:rPr>
              <w:t>（很不满意）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培训前培训单位是否对培训工作进行过宣传和动员？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90.35%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9.04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0.63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培训单位是否按课程表安排教学工作？</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82.46%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16.67%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16.67%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8.25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0.33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培训教材或材料的适用情况怎样？</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85.96%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8.60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0.91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0.16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4.培训单位是否免费发放与培训相关的教材或材料</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授课教师是否与课程表安排相符？</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94.74%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9.47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0.35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0.05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0.02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教学内容是否与课程表安排一致？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86.84%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8.68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0.79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0.26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培训课程是否安排实作训练？</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培训课程是否切合实际、便于应用？</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87.72%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8.77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0.98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认为培训单位的培训质量如何？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84.21%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14.04%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8.42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1.12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认为培训单位在培训期间的管理工作水平如何？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78.07%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19.30%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Arial Narrow" w:hAnsi="Arial Narrow" w:eastAsia="Arial Narrow" w:cs="Arial Narrow"/>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7.81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0.11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占比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89.35%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89.04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5.54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2.21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0.68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0.00 </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0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最终得分</w:t>
            </w:r>
          </w:p>
        </w:tc>
        <w:tc>
          <w:tcPr>
            <w:tcW w:w="540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权重</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97.47 </w:t>
            </w:r>
          </w:p>
        </w:tc>
      </w:tr>
    </w:tbl>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kern w:val="2"/>
          <w:sz w:val="32"/>
          <w:szCs w:val="32"/>
          <w:lang w:val="en-US" w:eastAsia="zh-CN"/>
        </w:rPr>
      </w:pPr>
      <w:bookmarkStart w:id="15" w:name="_Toc21891"/>
      <w:r>
        <w:rPr>
          <w:rFonts w:hint="eastAsia" w:ascii="黑体" w:hAnsi="黑体" w:eastAsia="黑体" w:cs="黑体"/>
          <w:kern w:val="2"/>
          <w:sz w:val="32"/>
          <w:szCs w:val="32"/>
          <w:lang w:val="zh-CN" w:eastAsia="zh-CN"/>
        </w:rPr>
        <w:t>四、成本效益分析</w:t>
      </w:r>
      <w:bookmarkEnd w:id="15"/>
      <w:r>
        <w:rPr>
          <w:rFonts w:hint="eastAsia" w:ascii="黑体" w:hAnsi="黑体" w:eastAsia="黑体" w:cs="黑体"/>
          <w:kern w:val="2"/>
          <w:sz w:val="32"/>
          <w:szCs w:val="32"/>
          <w:lang w:val="en-US" w:eastAsia="zh-CN"/>
        </w:rPr>
        <w:t xml:space="preserve"> </w:t>
      </w:r>
    </w:p>
    <w:p>
      <w:pPr>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20</w:t>
      </w:r>
      <w:r>
        <w:rPr>
          <w:rFonts w:hint="eastAsia" w:ascii="仿宋_GB2312" w:eastAsia="仿宋_GB2312" w:cs="Times New Roman"/>
          <w:kern w:val="2"/>
          <w:sz w:val="32"/>
          <w:szCs w:val="32"/>
          <w:lang w:val="en-US" w:eastAsia="zh-CN"/>
        </w:rPr>
        <w:t>22</w:t>
      </w:r>
      <w:r>
        <w:rPr>
          <w:rFonts w:hint="eastAsia" w:ascii="仿宋_GB2312" w:hAnsi="Calibri" w:eastAsia="仿宋_GB2312" w:cs="Times New Roman"/>
          <w:kern w:val="2"/>
          <w:sz w:val="32"/>
          <w:szCs w:val="32"/>
          <w:lang w:val="en-US" w:eastAsia="zh-CN"/>
        </w:rPr>
        <w:t>年，本项目市级财政资金拨款</w:t>
      </w:r>
      <w:r>
        <w:rPr>
          <w:rFonts w:hint="eastAsia" w:ascii="仿宋_GB2312" w:eastAsia="仿宋_GB2312" w:cs="Times New Roman"/>
          <w:kern w:val="2"/>
          <w:sz w:val="32"/>
          <w:szCs w:val="32"/>
          <w:lang w:val="en-US" w:eastAsia="zh-CN"/>
        </w:rPr>
        <w:t>97.361</w:t>
      </w:r>
      <w:r>
        <w:rPr>
          <w:rFonts w:hint="eastAsia" w:ascii="仿宋_GB2312" w:hAnsi="Calibri" w:eastAsia="仿宋_GB2312" w:cs="Times New Roman"/>
          <w:kern w:val="2"/>
          <w:sz w:val="32"/>
          <w:szCs w:val="32"/>
          <w:lang w:val="en-US" w:eastAsia="zh-CN"/>
        </w:rPr>
        <w:t>万元，实际支出</w:t>
      </w:r>
      <w:r>
        <w:rPr>
          <w:rFonts w:hint="eastAsia" w:ascii="仿宋_GB2312" w:hAnsi="仿宋" w:eastAsia="仿宋_GB2312" w:cs="仿宋_GB2312"/>
          <w:b w:val="0"/>
          <w:bCs w:val="0"/>
          <w:kern w:val="2"/>
          <w:sz w:val="32"/>
          <w:szCs w:val="32"/>
          <w:lang w:val="en-US" w:eastAsia="zh-CN" w:bidi="ar-SA"/>
        </w:rPr>
        <w:t>82.050854万元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84.27</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资金使用效果方面，昆明市残疾人综合服务中心充分发挥为残疾人提供技能培训及就业服务的工作职能，提高残疾人职业技能的水平，提高残疾人的就业率。</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kern w:val="2"/>
          <w:sz w:val="32"/>
          <w:szCs w:val="32"/>
          <w:lang w:val="zh-CN" w:eastAsia="zh-CN"/>
        </w:rPr>
      </w:pPr>
      <w:bookmarkStart w:id="16" w:name="_Toc29194"/>
      <w:r>
        <w:rPr>
          <w:rFonts w:hint="eastAsia" w:ascii="黑体" w:hAnsi="黑体" w:eastAsia="黑体" w:cs="黑体"/>
          <w:kern w:val="2"/>
          <w:sz w:val="32"/>
          <w:szCs w:val="32"/>
          <w:lang w:val="zh-CN" w:eastAsia="zh-CN"/>
        </w:rPr>
        <w:t>五、主要经验及做法、存在的问题和建议</w:t>
      </w:r>
      <w:bookmarkEnd w:id="16"/>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17" w:name="_Toc27951"/>
      <w:bookmarkStart w:id="18" w:name="_Hlk514329041"/>
      <w:r>
        <w:rPr>
          <w:rFonts w:hint="eastAsia" w:ascii="楷体_GB2312" w:hAnsi="楷体_GB2312" w:eastAsia="楷体_GB2312" w:cs="楷体_GB2312"/>
          <w:kern w:val="2"/>
          <w:sz w:val="32"/>
          <w:szCs w:val="32"/>
          <w:lang w:val="en-US" w:eastAsia="zh-CN"/>
        </w:rPr>
        <w:t>（一）主要经验及做法</w:t>
      </w:r>
      <w:bookmarkEnd w:id="17"/>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1.建立了“党政同责、一岗双责、齐抓共管”的工作体系</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 xml:space="preserve">昆明市残疾人综合服务中心建立了“党政同责、一岗双责、齐抓共管”的工作体系，实行“一把手”负总责、分管领导具体负责、各业务处室具体抓落实的责任体系，同时将补助工作目标责任列入各县领导班子和领导干部年度工作实绩考核及重点督查工作。 </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2.各部门/各县区给予配合与支持</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做好预算绩效管理，离不开基层部门/处室的支持和配合，昆明市残疾人综合服务中心系统下属部门/处室众多，管理幅度较宽，数据处理量大，因此需要下属部门高度领会预算绩效管理的业务实质和内涵，及时跟进预算进度统计和业务成果统计，将预算资金管理与业务管理高度结合起来，对预算执行中的偏差及时予以修正。</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3.探索资金管理、绩效管理与业务管理相结合的机制</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全面预算绩效管理，是一项综合、系统管理课题，应综合运用资金管理、进度管理、绩效管理、目标管理等多种手段，做好目标量化、统计跟踪、比较分析、效益分析等工作，建立资金管理、绩效管理与业务管理的联动机制，优化投入产出比，用较少的资金产生较大的效益，推动残联各项工作迈入科学化、制度化、流程化的轨道。</w:t>
      </w:r>
    </w:p>
    <w:bookmarkEnd w:id="18"/>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bookmarkStart w:id="19" w:name="_Toc964"/>
      <w:r>
        <w:rPr>
          <w:rFonts w:hint="eastAsia" w:ascii="楷体_GB2312" w:hAnsi="楷体_GB2312" w:eastAsia="楷体_GB2312" w:cs="楷体_GB2312"/>
          <w:kern w:val="2"/>
          <w:sz w:val="32"/>
          <w:szCs w:val="32"/>
          <w:lang w:val="en-US" w:eastAsia="zh-CN"/>
        </w:rPr>
        <w:t>（二）存在的问题</w:t>
      </w:r>
      <w:bookmarkEnd w:id="19"/>
    </w:p>
    <w:p>
      <w:pPr>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预算申报准确性不足。202</w:t>
      </w:r>
      <w:r>
        <w:rPr>
          <w:rFonts w:hint="eastAsia" w:ascii="仿宋_GB2312" w:eastAsia="仿宋_GB2312" w:cs="Times New Roman"/>
          <w:kern w:val="2"/>
          <w:sz w:val="32"/>
          <w:szCs w:val="32"/>
          <w:lang w:val="en-US" w:eastAsia="zh-CN"/>
        </w:rPr>
        <w:t>2</w:t>
      </w:r>
      <w:r>
        <w:rPr>
          <w:rFonts w:hint="eastAsia" w:ascii="仿宋_GB2312" w:hAnsi="Calibri" w:eastAsia="仿宋_GB2312" w:cs="Times New Roman"/>
          <w:kern w:val="2"/>
          <w:sz w:val="32"/>
          <w:szCs w:val="32"/>
          <w:lang w:val="en-US" w:eastAsia="zh-CN"/>
        </w:rPr>
        <w:t>年残疾人职业技能培训及就业服务项目市级财政资金拨款</w:t>
      </w:r>
      <w:bookmarkStart w:id="20" w:name="_Toc31077"/>
      <w:r>
        <w:rPr>
          <w:rFonts w:hint="eastAsia" w:ascii="仿宋_GB2312" w:hAnsi="Calibri" w:eastAsia="仿宋_GB2312" w:cs="Times New Roman"/>
          <w:kern w:val="2"/>
          <w:sz w:val="32"/>
          <w:szCs w:val="32"/>
          <w:lang w:val="en-US" w:eastAsia="zh-CN"/>
        </w:rPr>
        <w:t>金额为</w:t>
      </w:r>
      <w:r>
        <w:rPr>
          <w:rFonts w:hint="eastAsia" w:ascii="仿宋_GB2312" w:eastAsia="仿宋_GB2312" w:cs="Times New Roman"/>
          <w:kern w:val="2"/>
          <w:sz w:val="32"/>
          <w:szCs w:val="32"/>
          <w:lang w:val="en-US" w:eastAsia="zh-CN"/>
        </w:rPr>
        <w:t>97.361</w:t>
      </w:r>
      <w:r>
        <w:rPr>
          <w:rFonts w:hint="eastAsia" w:ascii="仿宋_GB2312" w:hAnsi="Calibri" w:eastAsia="仿宋_GB2312" w:cs="Times New Roman"/>
          <w:kern w:val="2"/>
          <w:sz w:val="32"/>
          <w:szCs w:val="32"/>
          <w:lang w:val="en-US" w:eastAsia="zh-CN"/>
        </w:rPr>
        <w:t>万元，实际支出</w:t>
      </w:r>
      <w:r>
        <w:rPr>
          <w:rFonts w:hint="eastAsia" w:ascii="仿宋_GB2312" w:hAnsi="仿宋" w:eastAsia="仿宋_GB2312" w:cs="仿宋_GB2312"/>
          <w:b w:val="0"/>
          <w:bCs w:val="0"/>
          <w:kern w:val="2"/>
          <w:sz w:val="32"/>
          <w:szCs w:val="32"/>
          <w:lang w:val="en-US" w:eastAsia="zh-CN" w:bidi="ar-SA"/>
        </w:rPr>
        <w:t>82.050854万元</w:t>
      </w:r>
      <w:r>
        <w:rPr>
          <w:rFonts w:hint="eastAsia" w:ascii="仿宋_GB2312" w:hAnsi="Calibri" w:eastAsia="仿宋_GB2312" w:cs="Times New Roman"/>
          <w:kern w:val="2"/>
          <w:sz w:val="32"/>
          <w:szCs w:val="32"/>
          <w:lang w:val="en-US" w:eastAsia="zh-CN"/>
        </w:rPr>
        <w:t>，为预算金额的</w:t>
      </w:r>
      <w:r>
        <w:rPr>
          <w:rFonts w:hint="eastAsia" w:ascii="仿宋_GB2312" w:eastAsia="仿宋_GB2312" w:cs="Times New Roman"/>
          <w:kern w:val="2"/>
          <w:sz w:val="32"/>
          <w:szCs w:val="32"/>
          <w:lang w:val="en-US" w:eastAsia="zh-CN"/>
        </w:rPr>
        <w:t>84.27</w:t>
      </w:r>
      <w:r>
        <w:rPr>
          <w:rFonts w:hint="eastAsia" w:ascii="仿宋_GB2312" w:hAnsi="Calibri" w:eastAsia="仿宋_GB2312" w:cs="Times New Roman"/>
          <w:kern w:val="2"/>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（三）改进措施及建议</w:t>
      </w:r>
      <w:bookmarkEnd w:id="20"/>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bookmarkStart w:id="21" w:name="_Hlk514329293"/>
      <w:r>
        <w:rPr>
          <w:rFonts w:hint="eastAsia" w:ascii="仿宋_GB2312" w:hAnsi="Calibri" w:eastAsia="仿宋_GB2312" w:cs="Times New Roman"/>
          <w:kern w:val="2"/>
          <w:sz w:val="32"/>
          <w:szCs w:val="32"/>
          <w:lang w:val="en-US" w:eastAsia="zh-CN"/>
        </w:rPr>
        <w:t>改进绩效管理工作的一些措施：</w:t>
      </w:r>
    </w:p>
    <w:bookmarkEnd w:id="21"/>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1.定期或者不定期查看各县（市）区残疾人职业技能培训和就业服务工作的发展情况，分析目前残疾人职业技能培训和就业服务工作管理各环节工作存在的问题，增强绩效评价协调配合意识，提高项目绩效指标的科学性和可考核性；</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2.提高项目绩效目标的申报水平，对项目绩效目标申报进一步细化、量化，形成契合项目实际、科学合理、可独立考核的项目绩效指标；</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3.项目执行过程中，定期对项目的实施进度、目标实现情况、资金使用情况等进行监督管理，对于偏离目标较大的项目，分析原因，责成实施部门进行整改、纠偏；</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4.项目实施完毕后，及时收集整理项目各类财务、业务相关资料，进行绩效评价，建立部门内部项目资料库，为决策提供依据；</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5.绩效评价后，积极推进绩效监督、绩效审计和绩效问责，逐步建立完善的绩效评价结果应用和整改落实体系；</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6.加强各基层残联、处室绩效管理人员的培训，提升他们的预算绩效管理知识结构和能力。</w:t>
      </w:r>
    </w:p>
    <w:p>
      <w:pPr>
        <w:pStyle w:val="4"/>
        <w:keepNext w:val="0"/>
        <w:keepLines w:val="0"/>
        <w:pageBreakBefore w:val="0"/>
        <w:kinsoku/>
        <w:wordWrap/>
        <w:topLinePunct w:val="0"/>
        <w:bidi w:val="0"/>
        <w:snapToGrid/>
        <w:spacing w:line="560" w:lineRule="exact"/>
        <w:textAlignment w:val="auto"/>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 xml:space="preserve">                         </w:t>
      </w:r>
    </w:p>
    <w:p>
      <w:pPr>
        <w:pStyle w:val="4"/>
        <w:keepNext w:val="0"/>
        <w:keepLines w:val="0"/>
        <w:pageBreakBefore w:val="0"/>
        <w:kinsoku/>
        <w:wordWrap/>
        <w:topLinePunct w:val="0"/>
        <w:bidi w:val="0"/>
        <w:snapToGrid/>
        <w:spacing w:line="560" w:lineRule="exact"/>
        <w:textAlignment w:val="auto"/>
        <w:rPr>
          <w:rFonts w:hint="eastAsia"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 xml:space="preserve">                          昆明市残疾人综合服务中心</w:t>
      </w:r>
    </w:p>
    <w:p>
      <w:pPr>
        <w:pStyle w:val="4"/>
        <w:keepNext w:val="0"/>
        <w:keepLines w:val="0"/>
        <w:pageBreakBefore w:val="0"/>
        <w:kinsoku/>
        <w:wordWrap/>
        <w:topLinePunct w:val="0"/>
        <w:bidi w:val="0"/>
        <w:snapToGrid/>
        <w:spacing w:line="560" w:lineRule="exact"/>
        <w:textAlignment w:val="auto"/>
        <w:rPr>
          <w:rFonts w:hint="default" w:ascii="仿宋_GB2312"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lang w:val="en-US" w:eastAsia="zh-CN"/>
        </w:rPr>
        <w:t xml:space="preserve">  2023年5月17日</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85B6"/>
    <w:multiLevelType w:val="singleLevel"/>
    <w:tmpl w:val="05D185B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mZhNTk4NjM3ZmJkOGE3M2ViYmExMWZkYWNiNDcifQ=="/>
  </w:docVars>
  <w:rsids>
    <w:rsidRoot w:val="4E53517C"/>
    <w:rsid w:val="00C94683"/>
    <w:rsid w:val="038B3A82"/>
    <w:rsid w:val="07E565F1"/>
    <w:rsid w:val="0B5F3E3A"/>
    <w:rsid w:val="14B640E2"/>
    <w:rsid w:val="1F78690B"/>
    <w:rsid w:val="20053ACE"/>
    <w:rsid w:val="21DC7625"/>
    <w:rsid w:val="26B47EE6"/>
    <w:rsid w:val="29541ED3"/>
    <w:rsid w:val="2A43006E"/>
    <w:rsid w:val="2AA013D6"/>
    <w:rsid w:val="36A02B85"/>
    <w:rsid w:val="387B75EF"/>
    <w:rsid w:val="3C746980"/>
    <w:rsid w:val="441D4019"/>
    <w:rsid w:val="4E53517C"/>
    <w:rsid w:val="509E1DC6"/>
    <w:rsid w:val="51C2305A"/>
    <w:rsid w:val="56CA008D"/>
    <w:rsid w:val="5A270332"/>
    <w:rsid w:val="5BA60831"/>
    <w:rsid w:val="5C717941"/>
    <w:rsid w:val="64131D2C"/>
    <w:rsid w:val="657153EB"/>
    <w:rsid w:val="69765236"/>
    <w:rsid w:val="6AD116E9"/>
    <w:rsid w:val="6B7B0FF2"/>
    <w:rsid w:val="6F103A37"/>
    <w:rsid w:val="6F1E6631"/>
    <w:rsid w:val="74586551"/>
    <w:rsid w:val="78267F9C"/>
    <w:rsid w:val="79EC383C"/>
    <w:rsid w:val="7C1F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A"/>
    <w:qFormat/>
    <w:uiPriority w:val="99"/>
    <w:pPr>
      <w:spacing w:after="200" w:line="276" w:lineRule="auto"/>
    </w:pPr>
    <w:rPr>
      <w:rFonts w:ascii="Calibri" w:hAnsi="Calibri" w:eastAsia="宋体" w:cs="Calibri"/>
      <w:color w:val="000000"/>
      <w:sz w:val="22"/>
      <w:szCs w:val="22"/>
      <w:u w:val="none" w:color="000000"/>
      <w:lang w:val="en-US" w:eastAsia="zh-CN" w:bidi="ar-SA"/>
    </w:rPr>
  </w:style>
  <w:style w:type="paragraph" w:customStyle="1" w:styleId="1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character" w:customStyle="1" w:styleId="13">
    <w:name w:val="font01"/>
    <w:basedOn w:val="10"/>
    <w:qFormat/>
    <w:uiPriority w:val="0"/>
    <w:rPr>
      <w:rFonts w:hint="eastAsia" w:ascii="宋体" w:hAnsi="宋体" w:eastAsia="宋体" w:cs="宋体"/>
      <w:color w:val="000000"/>
      <w:sz w:val="18"/>
      <w:szCs w:val="18"/>
      <w:u w:val="none"/>
    </w:rPr>
  </w:style>
  <w:style w:type="character" w:customStyle="1" w:styleId="14">
    <w:name w:val="font41"/>
    <w:basedOn w:val="10"/>
    <w:qFormat/>
    <w:uiPriority w:val="0"/>
    <w:rPr>
      <w:rFonts w:hint="default" w:ascii="Times New Roman" w:hAnsi="Times New Roman" w:cs="Times New Roman"/>
      <w:b/>
      <w:bCs/>
      <w:color w:val="000000"/>
      <w:sz w:val="15"/>
      <w:szCs w:val="15"/>
      <w:u w:val="none"/>
    </w:rPr>
  </w:style>
  <w:style w:type="character" w:customStyle="1" w:styleId="15">
    <w:name w:val="font31"/>
    <w:basedOn w:val="10"/>
    <w:qFormat/>
    <w:uiPriority w:val="0"/>
    <w:rPr>
      <w:rFonts w:hint="eastAsia" w:ascii="宋体" w:hAnsi="宋体" w:eastAsia="宋体" w:cs="宋体"/>
      <w:b/>
      <w:bCs/>
      <w:color w:val="000000"/>
      <w:sz w:val="15"/>
      <w:szCs w:val="15"/>
      <w:u w:val="none"/>
    </w:rPr>
  </w:style>
  <w:style w:type="character" w:customStyle="1" w:styleId="16">
    <w:name w:val="font61"/>
    <w:basedOn w:val="10"/>
    <w:qFormat/>
    <w:uiPriority w:val="0"/>
    <w:rPr>
      <w:rFonts w:hint="eastAsia" w:ascii="宋体" w:hAnsi="宋体" w:eastAsia="宋体" w:cs="宋体"/>
      <w:color w:val="000000"/>
      <w:sz w:val="18"/>
      <w:szCs w:val="18"/>
      <w:u w:val="none"/>
    </w:rPr>
  </w:style>
  <w:style w:type="character" w:customStyle="1" w:styleId="17">
    <w:name w:val="font51"/>
    <w:basedOn w:val="10"/>
    <w:qFormat/>
    <w:uiPriority w:val="0"/>
    <w:rPr>
      <w:rFonts w:hint="default" w:ascii="Arial Narrow" w:hAnsi="Arial Narrow" w:eastAsia="Arial Narrow" w:cs="Arial Narrow"/>
      <w:color w:val="000000"/>
      <w:sz w:val="18"/>
      <w:szCs w:val="18"/>
      <w:u w:val="none"/>
    </w:rPr>
  </w:style>
  <w:style w:type="paragraph" w:customStyle="1" w:styleId="18">
    <w:name w:val="WPSOffice手动目录 1"/>
    <w:uiPriority w:val="0"/>
    <w:pPr>
      <w:ind w:leftChars="0"/>
    </w:pPr>
    <w:rPr>
      <w:rFonts w:ascii="Times New Roman" w:hAnsi="Times New Roman" w:eastAsia="宋体" w:cs="Times New Roman"/>
      <w:sz w:val="20"/>
      <w:szCs w:val="20"/>
    </w:rPr>
  </w:style>
  <w:style w:type="paragraph" w:customStyle="1" w:styleId="1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云南省残疾人联合会</Company>
  <Pages>23</Pages>
  <Words>9393</Words>
  <Characters>10630</Characters>
  <Lines>0</Lines>
  <Paragraphs>0</Paragraphs>
  <TotalTime>10</TotalTime>
  <ScaleCrop>false</ScaleCrop>
  <LinksUpToDate>false</LinksUpToDate>
  <CharactersWithSpaces>10939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2022-05-20T10:26:00Z</dcterms:created>
  <dc:creator>鄂小怂同学</dc:creator>
  <cp:lastModifiedBy>WPS_1672276836</cp:lastModifiedBy>
  <dcterms:modified xsi:type="dcterms:W3CDTF">2023-09-22T07:18:29Z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8A3D485085AF44C5B0BB95B9E35F3A32_13</vt:lpwstr>
  </property>
</Properties>
</file>