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105" w:rightChars="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105" w:right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招标代理机构评审打分表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/>
          <w:lang w:val="en-US" w:eastAsia="zh-CN"/>
        </w:rPr>
        <w:t>机构名称：</w:t>
      </w:r>
      <w:r>
        <w:rPr>
          <w:rFonts w:hint="eastAsia"/>
          <w:u w:val="single"/>
          <w:lang w:val="en-US" w:eastAsia="zh-CN"/>
        </w:rPr>
        <w:t xml:space="preserve">                    </w:t>
      </w:r>
    </w:p>
    <w:tbl>
      <w:tblPr>
        <w:tblStyle w:val="3"/>
        <w:tblW w:w="90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404"/>
        <w:gridCol w:w="696"/>
        <w:gridCol w:w="913"/>
        <w:gridCol w:w="4350"/>
        <w:gridCol w:w="1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  分  项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  分  标  准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认定资质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一票否决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在政府采购网站上有机构备案；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具有相关承接资质，依法设立，能独立承担民事责任；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治理结构健全，内部管理和监督制度完善；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具有独立的财务管理、会计核算和资产管理制度；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有从事招标代理业务的营业场所和相应资金；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（6）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具有依法纳税和社保的良好记录；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（7）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社会信誉、商业信誉良好。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业绩情况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业绩经验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供应商近三年至少完成100项类似业绩,新成立少于三年的机构平均每年完成30项类似业绩，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提供中标通知书等材料，得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10分，对比次之得5-9分，对比一般得1-4分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、管理计划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设立、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人员配置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管理计划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机构设立完善，人员配置齐全、管理计划科学合理得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15-20分，对比次之得11-15分，对比一般得5-10分，对比差得1-4分。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以（《招标代理服务收费管理暂行办法》（计价格〔2002〕1980号）规定的《招标代理服务收费标准》为评标基准价，与评标基准价相比（差值），每下浮一个百分点加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分，加到满分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0分为止。下浮的浮动点不足1%的按四舍五入法进行计算，以此类推。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服务方案（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工作方案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（1）工作方案详细，针对性强，得15-20分，对比次之得11-14分，对比一般得5-10分，对比差得1-4分；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（2）内容具体，能充分体现本项目招标特点，得10分，对比次之得5-9分，对比一般得1-4分，对比差得不得分；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（3）服务工作周期详细、合理、可行的，得10分，对比次之得5-9分，对比一般得1-4分，对比差得不得分；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（4）熟悉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、有过类似经验，结合项目实际需求给分，1-10分。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服务质量保证措施及承诺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（1）服务质量保证措施及承诺内容具体，切实可行，并附有具体违约承诺的得5分；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（2）服务质量保证措施及承诺内容空洞，有具体违约承诺的得2-4分；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（3）服务质量保证措施及承诺内容空洞，违约承诺不具体的得1分。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服务期限和廉洁管理措施及承诺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（1）服务期限保障和廉洁管理措施内容具体，切实可行，并附有具体廉洁违约承诺的得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（2）服务期限保障和廉洁管理措施内容空洞，有具体廉洁违约承诺的得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（3）服务期限保障和廉洁管理措施内容空洞，且无具体廉洁违约承诺的得1分。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总分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100分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61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10916"/>
    <w:rsid w:val="1711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2022-03-28T08:47:00Z</dcterms:created>
  <dc:creator>vivi</dc:creator>
  <cp:lastModifiedBy>vivi</cp:lastModifiedBy>
  <dcterms:modified xsi:type="dcterms:W3CDTF">2022-03-28T08:48:26Z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B34FD0AA11F14864988294846A42A2E2</vt:lpwstr>
  </property>
</Properties>
</file>