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2022年残疾人托养机构认定检查结题验收购买服务采购评审打分表</w:t>
      </w: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3"/>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得</w:t>
            </w:r>
            <w:r>
              <w:rPr>
                <w:rFonts w:hint="eastAsia" w:ascii="宋体" w:hAnsi="宋体" w:eastAsia="宋体" w:cs="宋体"/>
                <w:b/>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w:t>
            </w:r>
            <w:r>
              <w:rPr>
                <w:rFonts w:hint="default" w:ascii="宋体" w:hAnsi="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w:t>
            </w:r>
            <w:r>
              <w:rPr>
                <w:rFonts w:hint="default" w:ascii="宋体" w:hAnsi="宋体" w:cs="宋体"/>
                <w:i w:val="0"/>
                <w:color w:val="000000"/>
                <w:sz w:val="24"/>
                <w:szCs w:val="24"/>
                <w:u w:val="none"/>
                <w:lang w:val="en-US" w:eastAsia="zh-CN"/>
              </w:rPr>
              <w:t>具有相关承接资质，依法设立，能独立承担民事责任；</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r>
              <w:rPr>
                <w:rFonts w:hint="default" w:ascii="宋体" w:hAnsi="宋体" w:cs="宋体"/>
                <w:i w:val="0"/>
                <w:color w:val="000000"/>
                <w:sz w:val="24"/>
                <w:szCs w:val="24"/>
                <w:u w:val="none"/>
                <w:lang w:val="en-US" w:eastAsia="zh-CN"/>
              </w:rPr>
              <w:t>治理结构健全，内部管理和监督制度完善；</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（3）健全的财务会计制度</w:t>
            </w:r>
            <w:r>
              <w:rPr>
                <w:rFonts w:hint="default" w:ascii="宋体" w:hAnsi="宋体" w:cs="宋体"/>
                <w:i w:val="0"/>
                <w:color w:val="000000"/>
                <w:sz w:val="24"/>
                <w:szCs w:val="24"/>
                <w:u w:val="none"/>
                <w:lang w:val="en-US" w:eastAsia="zh-CN"/>
              </w:rPr>
              <w:t>；</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r>
              <w:rPr>
                <w:rFonts w:hint="default" w:ascii="宋体" w:hAnsi="宋体" w:cs="宋体"/>
                <w:i w:val="0"/>
                <w:color w:val="000000"/>
                <w:sz w:val="24"/>
                <w:szCs w:val="24"/>
                <w:u w:val="none"/>
                <w:lang w:val="en-US" w:eastAsia="zh-CN"/>
              </w:rPr>
              <w:t>有营业场所和相应资金；</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r>
              <w:rPr>
                <w:rFonts w:hint="default" w:ascii="宋体" w:hAnsi="宋体" w:cs="宋体"/>
                <w:i w:val="0"/>
                <w:color w:val="000000"/>
                <w:sz w:val="24"/>
                <w:szCs w:val="24"/>
                <w:u w:val="none"/>
                <w:lang w:val="en-US" w:eastAsia="zh-CN"/>
              </w:rPr>
              <w:t>具有依法纳税和社保的良好记录；</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r>
              <w:rPr>
                <w:rFonts w:hint="default" w:ascii="宋体" w:hAnsi="宋体" w:cs="宋体"/>
                <w:i w:val="0"/>
                <w:color w:val="000000"/>
                <w:sz w:val="24"/>
                <w:szCs w:val="24"/>
                <w:u w:val="none"/>
                <w:lang w:val="en-US" w:eastAsia="zh-CN"/>
              </w:rPr>
              <w:t>社会信誉、商业信誉良好。</w:t>
            </w:r>
            <w:bookmarkStart w:id="0" w:name="_GoBack"/>
            <w:bookmarkEnd w:id="0"/>
          </w:p>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业绩情况</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供应商近三年至少完成（ ）项类似业绩,新成立少于三年的机构平均每年完成（ ）项类似业绩，</w:t>
            </w:r>
            <w:r>
              <w:rPr>
                <w:rFonts w:hint="eastAsia" w:ascii="宋体" w:hAnsi="宋体" w:cs="宋体"/>
                <w:i w:val="0"/>
                <w:color w:val="000000"/>
                <w:sz w:val="24"/>
                <w:szCs w:val="24"/>
                <w:u w:val="none"/>
                <w:lang w:eastAsia="zh-CN"/>
              </w:rPr>
              <w:t>提供中标通知书等材料，得</w:t>
            </w:r>
            <w:r>
              <w:rPr>
                <w:rFonts w:hint="eastAsia" w:ascii="宋体" w:hAnsi="宋体" w:cs="宋体"/>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机构、</w:t>
            </w:r>
            <w:r>
              <w:rPr>
                <w:rFonts w:hint="eastAsia" w:ascii="宋体" w:hAnsi="宋体" w:eastAsia="宋体" w:cs="宋体"/>
                <w:i w:val="0"/>
                <w:color w:val="000000"/>
                <w:kern w:val="0"/>
                <w:sz w:val="28"/>
                <w:szCs w:val="28"/>
                <w:u w:val="none"/>
                <w:lang w:val="en-US" w:eastAsia="zh-CN" w:bidi="ar"/>
              </w:rPr>
              <w:t>人员</w:t>
            </w:r>
            <w:r>
              <w:rPr>
                <w:rFonts w:hint="eastAsia" w:ascii="宋体" w:hAnsi="宋体" w:cs="宋体"/>
                <w:i w:val="0"/>
                <w:color w:val="000000"/>
                <w:kern w:val="0"/>
                <w:sz w:val="28"/>
                <w:szCs w:val="28"/>
                <w:u w:val="none"/>
                <w:lang w:val="en-US" w:eastAsia="zh-CN" w:bidi="ar"/>
              </w:rPr>
              <w:t>、管理计划</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w:t>
            </w:r>
            <w:r>
              <w:rPr>
                <w:rFonts w:hint="eastAsia" w:ascii="宋体" w:hAnsi="宋体" w:cs="宋体"/>
                <w:i w:val="0"/>
                <w:color w:val="000000"/>
                <w:kern w:val="0"/>
                <w:sz w:val="24"/>
                <w:szCs w:val="24"/>
                <w:u w:val="none"/>
                <w:lang w:val="en-US" w:eastAsia="zh-CN" w:bidi="ar"/>
              </w:rPr>
              <w:t>设立、</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人员配置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eastAsia="zh-CN"/>
              </w:rPr>
              <w:t>机构设立完善，人员配置齐全、管理计划科学合理得</w:t>
            </w:r>
            <w:r>
              <w:rPr>
                <w:rFonts w:hint="eastAsia" w:ascii="宋体" w:hAnsi="宋体" w:cs="宋体"/>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报价</w:t>
            </w:r>
          </w:p>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报价得分=（基准价/报价）*10（保留两位小数点）。</w:t>
            </w:r>
            <w:r>
              <w:rPr>
                <w:rFonts w:hint="eastAsia" w:ascii="宋体" w:hAnsi="宋体" w:eastAsia="宋体" w:cs="宋体"/>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服务方案（</w:t>
            </w:r>
            <w:r>
              <w:rPr>
                <w:rFonts w:hint="eastAsia" w:ascii="宋体" w:hAnsi="宋体" w:cs="宋体"/>
                <w:i w:val="0"/>
                <w:color w:val="000000"/>
                <w:kern w:val="0"/>
                <w:sz w:val="28"/>
                <w:szCs w:val="28"/>
                <w:u w:val="none"/>
                <w:lang w:val="en-US" w:eastAsia="zh-CN" w:bidi="ar"/>
              </w:rPr>
              <w:t>60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（1）工作方案详细，针对性强，得15-20分，对比次之得11-14分，对比一般得5-10分，对比差得1-4分；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（3）服务工作周期详细、合理、可行的，得10分，对比次之得5-9分，对比一般得1-4分，对比差得不得分；</w:t>
            </w:r>
          </w:p>
          <w:p>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color w:val="000000"/>
                <w:kern w:val="0"/>
                <w:sz w:val="24"/>
                <w:szCs w:val="24"/>
                <w:u w:val="none"/>
                <w:lang w:val="en-US" w:eastAsia="zh-CN" w:bidi="ar"/>
              </w:rPr>
              <w:t>（4）熟悉残疾人事业、有过类似经验，结合项目实际需求给分，1-10分。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（1）服务质量保证措施及承诺内容具体，切实可行，并附有具体违约承诺的得5分；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（2）服务质量保证措施及承诺内容空洞，有具体违约承诺的得2-4分；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（1）服务期限保障和廉洁管理措施内容具体，切实可行，并附有具体廉洁违约承诺的得</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（2）服务期限保障和廉洁管理措施内容空洞，有具体廉洁违约承诺的得</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C0567"/>
    <w:rsid w:val="2E4968D9"/>
    <w:rsid w:val="2E870426"/>
    <w:rsid w:val="4EC16815"/>
    <w:rsid w:val="51132B7D"/>
    <w:rsid w:val="56D34AB3"/>
    <w:rsid w:val="5DDC0567"/>
    <w:rsid w:val="72B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2022-03-23T01:03:00Z</dcterms:created>
  <dc:creator>Administrator</dc:creator>
  <cp:lastModifiedBy>缪子青</cp:lastModifiedBy>
  <cp:lastPrinted>2022-03-28T06:45:31Z</cp:lastPrinted>
  <dcterms:modified xsi:type="dcterms:W3CDTF">2022-03-28T07:04:45Z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