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昆明市市本级残疾人按比例就业</w:t>
      </w:r>
      <w:r>
        <w:rPr>
          <w:rFonts w:ascii="方正小标宋_GBK" w:hAnsi="方正小标宋_GBK" w:eastAsia="方正小标宋_GBK" w:cs="方正小标宋_GBK"/>
          <w:sz w:val="36"/>
          <w:szCs w:val="36"/>
        </w:rPr>
        <w:t>20</w:t>
      </w:r>
      <w:r>
        <w:rPr>
          <w:rFonts w:hint="eastAsia" w:ascii="方正小标宋_GBK" w:hAnsi="方正小标宋_GBK" w:eastAsia="方正小标宋_GBK" w:cs="方正小标宋_GBK"/>
          <w:sz w:val="36"/>
          <w:szCs w:val="36"/>
        </w:rPr>
        <w:t>20年年审情况公示</w:t>
      </w:r>
    </w:p>
    <w:bookmarkEnd w:id="0"/>
    <w:tbl>
      <w:tblPr>
        <w:tblStyle w:val="2"/>
        <w:tblW w:w="138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900"/>
        <w:gridCol w:w="900"/>
        <w:gridCol w:w="900"/>
        <w:gridCol w:w="900"/>
        <w:gridCol w:w="1440"/>
        <w:gridCol w:w="720"/>
        <w:gridCol w:w="900"/>
        <w:gridCol w:w="900"/>
        <w:gridCol w:w="900"/>
        <w:gridCol w:w="900"/>
        <w:gridCol w:w="18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620" w:type="dxa"/>
            <w:vMerge w:val="restart"/>
            <w:noWrap w:val="0"/>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县（市）区名称</w:t>
            </w:r>
          </w:p>
        </w:tc>
        <w:tc>
          <w:tcPr>
            <w:tcW w:w="5760" w:type="dxa"/>
            <w:gridSpan w:val="6"/>
            <w:noWrap w:val="0"/>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本地区参加残疾人按比例就业年审用人单位数（户）</w:t>
            </w:r>
          </w:p>
        </w:tc>
        <w:tc>
          <w:tcPr>
            <w:tcW w:w="6480" w:type="dxa"/>
            <w:gridSpan w:val="6"/>
            <w:noWrap w:val="0"/>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本地区用人单位安排残疾人就业人数（人）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620" w:type="dxa"/>
            <w:vMerge w:val="continue"/>
            <w:noWrap w:val="0"/>
            <w:vAlign w:val="center"/>
          </w:tcPr>
          <w:p>
            <w:pPr>
              <w:widowControl/>
              <w:jc w:val="left"/>
              <w:rPr>
                <w:rFonts w:ascii="仿宋_GB2312" w:hAnsi="宋体" w:eastAsia="仿宋_GB2312"/>
                <w:kern w:val="0"/>
                <w:sz w:val="28"/>
                <w:szCs w:val="28"/>
              </w:rPr>
            </w:pPr>
          </w:p>
        </w:tc>
        <w:tc>
          <w:tcPr>
            <w:tcW w:w="900" w:type="dxa"/>
            <w:noWrap w:val="0"/>
            <w:vAlign w:val="center"/>
          </w:tcPr>
          <w:p>
            <w:pPr>
              <w:jc w:val="center"/>
              <w:rPr>
                <w:rFonts w:ascii="仿宋_GB2312" w:hAnsi="宋体" w:eastAsia="仿宋_GB2312" w:cs="宋体"/>
                <w:kern w:val="0"/>
                <w:sz w:val="28"/>
                <w:szCs w:val="28"/>
              </w:rPr>
            </w:pPr>
            <w:r>
              <w:rPr>
                <w:rFonts w:hint="eastAsia" w:ascii="仿宋_GB2312" w:hAnsi="宋体" w:eastAsia="仿宋_GB2312"/>
                <w:kern w:val="0"/>
                <w:sz w:val="28"/>
                <w:szCs w:val="28"/>
              </w:rPr>
              <w:t>机关</w:t>
            </w:r>
          </w:p>
        </w:tc>
        <w:tc>
          <w:tcPr>
            <w:tcW w:w="900" w:type="dxa"/>
            <w:noWrap w:val="0"/>
            <w:vAlign w:val="center"/>
          </w:tcPr>
          <w:p>
            <w:pPr>
              <w:jc w:val="center"/>
              <w:rPr>
                <w:rFonts w:ascii="仿宋_GB2312" w:hAnsi="宋体" w:eastAsia="仿宋_GB2312" w:cs="宋体"/>
                <w:kern w:val="0"/>
                <w:sz w:val="28"/>
                <w:szCs w:val="28"/>
              </w:rPr>
            </w:pPr>
            <w:r>
              <w:rPr>
                <w:rFonts w:hint="eastAsia" w:ascii="仿宋_GB2312" w:hAnsi="宋体" w:eastAsia="仿宋_GB2312"/>
                <w:kern w:val="0"/>
                <w:sz w:val="28"/>
                <w:szCs w:val="28"/>
              </w:rPr>
              <w:t>团体</w:t>
            </w:r>
          </w:p>
        </w:tc>
        <w:tc>
          <w:tcPr>
            <w:tcW w:w="900" w:type="dxa"/>
            <w:noWrap w:val="0"/>
            <w:vAlign w:val="center"/>
          </w:tcPr>
          <w:p>
            <w:pPr>
              <w:jc w:val="center"/>
              <w:rPr>
                <w:rFonts w:ascii="仿宋_GB2312" w:hAnsi="宋体" w:eastAsia="仿宋_GB2312" w:cs="宋体"/>
                <w:kern w:val="0"/>
                <w:sz w:val="28"/>
                <w:szCs w:val="28"/>
              </w:rPr>
            </w:pPr>
            <w:r>
              <w:rPr>
                <w:rFonts w:hint="eastAsia" w:ascii="仿宋_GB2312" w:hAnsi="宋体" w:eastAsia="仿宋_GB2312"/>
                <w:kern w:val="0"/>
                <w:sz w:val="28"/>
                <w:szCs w:val="28"/>
              </w:rPr>
              <w:t>企业</w:t>
            </w:r>
          </w:p>
        </w:tc>
        <w:tc>
          <w:tcPr>
            <w:tcW w:w="900" w:type="dxa"/>
            <w:noWrap w:val="0"/>
            <w:vAlign w:val="center"/>
          </w:tcPr>
          <w:p>
            <w:pPr>
              <w:jc w:val="center"/>
              <w:rPr>
                <w:rFonts w:ascii="仿宋_GB2312" w:hAnsi="宋体" w:eastAsia="仿宋_GB2312" w:cs="宋体"/>
                <w:kern w:val="0"/>
                <w:sz w:val="28"/>
                <w:szCs w:val="28"/>
              </w:rPr>
            </w:pPr>
            <w:r>
              <w:rPr>
                <w:rFonts w:hint="eastAsia" w:ascii="仿宋_GB2312" w:hAnsi="宋体" w:eastAsia="仿宋_GB2312"/>
                <w:kern w:val="0"/>
                <w:sz w:val="28"/>
                <w:szCs w:val="28"/>
              </w:rPr>
              <w:t>事业</w:t>
            </w:r>
          </w:p>
        </w:tc>
        <w:tc>
          <w:tcPr>
            <w:tcW w:w="1440" w:type="dxa"/>
            <w:noWrap w:val="0"/>
            <w:vAlign w:val="center"/>
          </w:tcPr>
          <w:p>
            <w:pPr>
              <w:jc w:val="center"/>
              <w:rPr>
                <w:rFonts w:ascii="仿宋_GB2312" w:hAnsi="宋体" w:eastAsia="仿宋_GB2312"/>
                <w:kern w:val="0"/>
                <w:sz w:val="28"/>
                <w:szCs w:val="28"/>
              </w:rPr>
            </w:pPr>
            <w:r>
              <w:rPr>
                <w:rFonts w:hint="eastAsia" w:ascii="仿宋_GB2312" w:hAnsi="宋体" w:eastAsia="仿宋_GB2312"/>
                <w:kern w:val="0"/>
                <w:sz w:val="28"/>
                <w:szCs w:val="28"/>
              </w:rPr>
              <w:t>民办非</w:t>
            </w:r>
          </w:p>
          <w:p>
            <w:pPr>
              <w:jc w:val="center"/>
              <w:rPr>
                <w:rFonts w:ascii="仿宋_GB2312" w:hAnsi="宋体" w:eastAsia="仿宋_GB2312" w:cs="宋体"/>
                <w:kern w:val="0"/>
                <w:sz w:val="28"/>
                <w:szCs w:val="28"/>
              </w:rPr>
            </w:pPr>
            <w:r>
              <w:rPr>
                <w:rFonts w:hint="eastAsia" w:ascii="仿宋_GB2312" w:hAnsi="宋体" w:eastAsia="仿宋_GB2312"/>
                <w:kern w:val="0"/>
                <w:sz w:val="28"/>
                <w:szCs w:val="28"/>
              </w:rPr>
              <w:t>企业单位</w:t>
            </w:r>
          </w:p>
        </w:tc>
        <w:tc>
          <w:tcPr>
            <w:tcW w:w="720" w:type="dxa"/>
            <w:noWrap w:val="0"/>
            <w:vAlign w:val="center"/>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合计</w:t>
            </w:r>
          </w:p>
        </w:tc>
        <w:tc>
          <w:tcPr>
            <w:tcW w:w="900" w:type="dxa"/>
            <w:noWrap w:val="0"/>
            <w:vAlign w:val="center"/>
          </w:tcPr>
          <w:p>
            <w:pPr>
              <w:jc w:val="center"/>
              <w:rPr>
                <w:rFonts w:ascii="仿宋_GB2312" w:hAnsi="宋体" w:eastAsia="仿宋_GB2312" w:cs="宋体"/>
                <w:kern w:val="0"/>
                <w:sz w:val="28"/>
                <w:szCs w:val="28"/>
              </w:rPr>
            </w:pPr>
            <w:r>
              <w:rPr>
                <w:rFonts w:hint="eastAsia" w:ascii="仿宋_GB2312" w:hAnsi="宋体" w:eastAsia="仿宋_GB2312"/>
                <w:kern w:val="0"/>
                <w:sz w:val="28"/>
                <w:szCs w:val="28"/>
              </w:rPr>
              <w:t>机关</w:t>
            </w:r>
          </w:p>
        </w:tc>
        <w:tc>
          <w:tcPr>
            <w:tcW w:w="900" w:type="dxa"/>
            <w:noWrap w:val="0"/>
            <w:vAlign w:val="center"/>
          </w:tcPr>
          <w:p>
            <w:pPr>
              <w:jc w:val="center"/>
              <w:rPr>
                <w:rFonts w:ascii="仿宋_GB2312" w:hAnsi="宋体" w:eastAsia="仿宋_GB2312" w:cs="宋体"/>
                <w:kern w:val="0"/>
                <w:sz w:val="28"/>
                <w:szCs w:val="28"/>
              </w:rPr>
            </w:pPr>
            <w:r>
              <w:rPr>
                <w:rFonts w:hint="eastAsia" w:ascii="仿宋_GB2312" w:hAnsi="宋体" w:eastAsia="仿宋_GB2312"/>
                <w:kern w:val="0"/>
                <w:sz w:val="28"/>
                <w:szCs w:val="28"/>
              </w:rPr>
              <w:t>团体</w:t>
            </w:r>
          </w:p>
        </w:tc>
        <w:tc>
          <w:tcPr>
            <w:tcW w:w="900" w:type="dxa"/>
            <w:noWrap w:val="0"/>
            <w:vAlign w:val="center"/>
          </w:tcPr>
          <w:p>
            <w:pPr>
              <w:jc w:val="center"/>
              <w:rPr>
                <w:rFonts w:ascii="仿宋_GB2312" w:hAnsi="宋体" w:eastAsia="仿宋_GB2312" w:cs="宋体"/>
                <w:kern w:val="0"/>
                <w:sz w:val="28"/>
                <w:szCs w:val="28"/>
              </w:rPr>
            </w:pPr>
            <w:r>
              <w:rPr>
                <w:rFonts w:hint="eastAsia" w:ascii="仿宋_GB2312" w:hAnsi="宋体" w:eastAsia="仿宋_GB2312"/>
                <w:kern w:val="0"/>
                <w:sz w:val="28"/>
                <w:szCs w:val="28"/>
              </w:rPr>
              <w:t>企业</w:t>
            </w:r>
          </w:p>
        </w:tc>
        <w:tc>
          <w:tcPr>
            <w:tcW w:w="900" w:type="dxa"/>
            <w:noWrap w:val="0"/>
            <w:vAlign w:val="center"/>
          </w:tcPr>
          <w:p>
            <w:pPr>
              <w:jc w:val="center"/>
              <w:rPr>
                <w:rFonts w:ascii="仿宋_GB2312" w:hAnsi="宋体" w:eastAsia="仿宋_GB2312" w:cs="宋体"/>
                <w:kern w:val="0"/>
                <w:sz w:val="28"/>
                <w:szCs w:val="28"/>
              </w:rPr>
            </w:pPr>
            <w:r>
              <w:rPr>
                <w:rFonts w:hint="eastAsia" w:ascii="仿宋_GB2312" w:hAnsi="宋体" w:eastAsia="仿宋_GB2312"/>
                <w:kern w:val="0"/>
                <w:sz w:val="28"/>
                <w:szCs w:val="28"/>
              </w:rPr>
              <w:t>事业</w:t>
            </w:r>
          </w:p>
        </w:tc>
        <w:tc>
          <w:tcPr>
            <w:tcW w:w="1800" w:type="dxa"/>
            <w:noWrap w:val="0"/>
            <w:vAlign w:val="center"/>
          </w:tcPr>
          <w:p>
            <w:pPr>
              <w:jc w:val="center"/>
              <w:rPr>
                <w:rFonts w:ascii="仿宋_GB2312" w:hAnsi="宋体" w:eastAsia="仿宋_GB2312" w:cs="宋体"/>
                <w:kern w:val="0"/>
                <w:sz w:val="28"/>
                <w:szCs w:val="28"/>
              </w:rPr>
            </w:pPr>
            <w:r>
              <w:rPr>
                <w:rFonts w:hint="eastAsia" w:ascii="仿宋_GB2312" w:hAnsi="宋体" w:eastAsia="仿宋_GB2312"/>
                <w:kern w:val="0"/>
                <w:sz w:val="28"/>
                <w:szCs w:val="28"/>
              </w:rPr>
              <w:t>民办非企业单位</w:t>
            </w:r>
          </w:p>
        </w:tc>
        <w:tc>
          <w:tcPr>
            <w:tcW w:w="1080" w:type="dxa"/>
            <w:noWrap w:val="0"/>
            <w:vAlign w:val="center"/>
          </w:tcPr>
          <w:p>
            <w:pPr>
              <w:widowControl/>
              <w:jc w:val="center"/>
              <w:rPr>
                <w:rFonts w:ascii="仿宋_GB2312" w:eastAsia="仿宋_GB2312"/>
                <w:kern w:val="0"/>
                <w:sz w:val="28"/>
                <w:szCs w:val="28"/>
              </w:rPr>
            </w:pPr>
            <w:r>
              <w:rPr>
                <w:rFonts w:hint="eastAsia" w:ascii="仿宋_GB2312" w:eastAsia="仿宋_GB2312"/>
                <w:kern w:val="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center"/>
          </w:tcPr>
          <w:p>
            <w:pPr>
              <w:jc w:val="center"/>
              <w:rPr>
                <w:rFonts w:ascii="仿宋_GB2312" w:hAnsi="仿宋" w:eastAsia="仿宋_GB2312"/>
                <w:kern w:val="0"/>
                <w:sz w:val="28"/>
                <w:szCs w:val="28"/>
              </w:rPr>
            </w:pPr>
            <w:r>
              <w:rPr>
                <w:rFonts w:hint="eastAsia" w:ascii="仿宋_GB2312" w:hAnsi="仿宋" w:eastAsia="仿宋_GB2312"/>
                <w:kern w:val="0"/>
                <w:sz w:val="28"/>
                <w:szCs w:val="28"/>
              </w:rPr>
              <w:t>昆明市本级</w:t>
            </w:r>
          </w:p>
        </w:tc>
        <w:tc>
          <w:tcPr>
            <w:tcW w:w="900" w:type="dxa"/>
            <w:noWrap w:val="0"/>
            <w:vAlign w:val="center"/>
          </w:tcPr>
          <w:p>
            <w:pPr>
              <w:jc w:val="center"/>
              <w:rPr>
                <w:rFonts w:hint="eastAsia" w:ascii="仿宋_GB2312" w:hAnsi="仿宋" w:eastAsia="仿宋_GB2312"/>
                <w:kern w:val="0"/>
                <w:sz w:val="28"/>
                <w:szCs w:val="28"/>
              </w:rPr>
            </w:pPr>
            <w:r>
              <w:rPr>
                <w:rFonts w:hint="eastAsia" w:ascii="仿宋_GB2312" w:hAnsi="仿宋" w:eastAsia="仿宋_GB2312"/>
                <w:kern w:val="0"/>
                <w:sz w:val="28"/>
                <w:szCs w:val="28"/>
              </w:rPr>
              <w:t>29</w:t>
            </w:r>
          </w:p>
        </w:tc>
        <w:tc>
          <w:tcPr>
            <w:tcW w:w="900" w:type="dxa"/>
            <w:noWrap w:val="0"/>
            <w:vAlign w:val="center"/>
          </w:tcPr>
          <w:p>
            <w:pPr>
              <w:jc w:val="center"/>
              <w:rPr>
                <w:rFonts w:hint="eastAsia" w:ascii="仿宋_GB2312" w:hAnsi="仿宋" w:eastAsia="仿宋_GB2312"/>
                <w:kern w:val="0"/>
                <w:sz w:val="28"/>
                <w:szCs w:val="28"/>
              </w:rPr>
            </w:pPr>
            <w:r>
              <w:rPr>
                <w:rFonts w:hint="eastAsia" w:ascii="仿宋_GB2312" w:hAnsi="仿宋" w:eastAsia="仿宋_GB2312"/>
                <w:kern w:val="0"/>
                <w:sz w:val="28"/>
                <w:szCs w:val="28"/>
              </w:rPr>
              <w:t>0</w:t>
            </w:r>
          </w:p>
        </w:tc>
        <w:tc>
          <w:tcPr>
            <w:tcW w:w="900" w:type="dxa"/>
            <w:noWrap w:val="0"/>
            <w:vAlign w:val="center"/>
          </w:tcPr>
          <w:p>
            <w:pPr>
              <w:jc w:val="center"/>
              <w:rPr>
                <w:rFonts w:hint="eastAsia" w:ascii="仿宋_GB2312" w:hAnsi="仿宋" w:eastAsia="仿宋_GB2312"/>
                <w:kern w:val="0"/>
                <w:sz w:val="28"/>
                <w:szCs w:val="28"/>
              </w:rPr>
            </w:pPr>
            <w:r>
              <w:rPr>
                <w:rFonts w:hint="eastAsia" w:ascii="仿宋_GB2312" w:hAnsi="仿宋" w:eastAsia="仿宋_GB2312"/>
                <w:kern w:val="0"/>
                <w:sz w:val="28"/>
                <w:szCs w:val="28"/>
              </w:rPr>
              <w:t>455</w:t>
            </w:r>
          </w:p>
        </w:tc>
        <w:tc>
          <w:tcPr>
            <w:tcW w:w="900" w:type="dxa"/>
            <w:noWrap w:val="0"/>
            <w:vAlign w:val="center"/>
          </w:tcPr>
          <w:p>
            <w:pPr>
              <w:jc w:val="center"/>
              <w:rPr>
                <w:rFonts w:hint="eastAsia" w:ascii="仿宋_GB2312" w:hAnsi="仿宋" w:eastAsia="仿宋_GB2312"/>
                <w:kern w:val="0"/>
                <w:sz w:val="28"/>
                <w:szCs w:val="28"/>
              </w:rPr>
            </w:pPr>
            <w:r>
              <w:rPr>
                <w:rFonts w:hint="eastAsia" w:ascii="仿宋_GB2312" w:hAnsi="仿宋" w:eastAsia="仿宋_GB2312"/>
                <w:kern w:val="0"/>
                <w:sz w:val="28"/>
                <w:szCs w:val="28"/>
              </w:rPr>
              <w:t>114</w:t>
            </w:r>
          </w:p>
        </w:tc>
        <w:tc>
          <w:tcPr>
            <w:tcW w:w="1440" w:type="dxa"/>
            <w:noWrap w:val="0"/>
            <w:vAlign w:val="center"/>
          </w:tcPr>
          <w:p>
            <w:pPr>
              <w:jc w:val="center"/>
              <w:rPr>
                <w:rFonts w:hint="eastAsia" w:ascii="仿宋_GB2312" w:hAnsi="仿宋" w:eastAsia="仿宋_GB2312"/>
                <w:kern w:val="0"/>
                <w:sz w:val="28"/>
                <w:szCs w:val="28"/>
              </w:rPr>
            </w:pPr>
            <w:r>
              <w:rPr>
                <w:rFonts w:hint="eastAsia" w:ascii="仿宋_GB2312" w:hAnsi="仿宋" w:eastAsia="仿宋_GB2312"/>
                <w:kern w:val="0"/>
                <w:sz w:val="28"/>
                <w:szCs w:val="28"/>
              </w:rPr>
              <w:t>18</w:t>
            </w:r>
          </w:p>
        </w:tc>
        <w:tc>
          <w:tcPr>
            <w:tcW w:w="720" w:type="dxa"/>
            <w:noWrap w:val="0"/>
            <w:vAlign w:val="center"/>
          </w:tcPr>
          <w:p>
            <w:pPr>
              <w:jc w:val="center"/>
              <w:rPr>
                <w:rFonts w:hint="eastAsia" w:ascii="仿宋_GB2312" w:hAnsi="仿宋" w:eastAsia="仿宋_GB2312"/>
                <w:kern w:val="0"/>
                <w:sz w:val="28"/>
                <w:szCs w:val="28"/>
              </w:rPr>
            </w:pPr>
            <w:r>
              <w:rPr>
                <w:rFonts w:hint="eastAsia" w:ascii="仿宋_GB2312" w:hAnsi="仿宋" w:eastAsia="仿宋_GB2312"/>
                <w:kern w:val="0"/>
                <w:sz w:val="28"/>
                <w:szCs w:val="28"/>
              </w:rPr>
              <w:t>616</w:t>
            </w:r>
          </w:p>
        </w:tc>
        <w:tc>
          <w:tcPr>
            <w:tcW w:w="900" w:type="dxa"/>
            <w:noWrap w:val="0"/>
            <w:vAlign w:val="center"/>
          </w:tcPr>
          <w:p>
            <w:pPr>
              <w:jc w:val="center"/>
              <w:rPr>
                <w:rFonts w:hint="eastAsia" w:ascii="仿宋_GB2312" w:hAnsi="仿宋" w:eastAsia="仿宋_GB2312"/>
                <w:kern w:val="0"/>
                <w:sz w:val="28"/>
                <w:szCs w:val="28"/>
              </w:rPr>
            </w:pPr>
            <w:r>
              <w:rPr>
                <w:rFonts w:hint="eastAsia" w:ascii="仿宋_GB2312" w:hAnsi="仿宋" w:eastAsia="仿宋_GB2312"/>
                <w:kern w:val="0"/>
                <w:sz w:val="28"/>
                <w:szCs w:val="28"/>
              </w:rPr>
              <w:t>76</w:t>
            </w:r>
          </w:p>
        </w:tc>
        <w:tc>
          <w:tcPr>
            <w:tcW w:w="900" w:type="dxa"/>
            <w:noWrap w:val="0"/>
            <w:vAlign w:val="center"/>
          </w:tcPr>
          <w:p>
            <w:pPr>
              <w:jc w:val="center"/>
              <w:rPr>
                <w:rFonts w:hint="eastAsia" w:ascii="仿宋_GB2312" w:hAnsi="仿宋" w:eastAsia="仿宋_GB2312"/>
                <w:kern w:val="0"/>
                <w:sz w:val="28"/>
                <w:szCs w:val="28"/>
              </w:rPr>
            </w:pPr>
            <w:r>
              <w:rPr>
                <w:rFonts w:hint="eastAsia" w:ascii="仿宋_GB2312" w:hAnsi="仿宋" w:eastAsia="仿宋_GB2312"/>
                <w:kern w:val="0"/>
                <w:sz w:val="28"/>
                <w:szCs w:val="28"/>
              </w:rPr>
              <w:t>0</w:t>
            </w:r>
          </w:p>
        </w:tc>
        <w:tc>
          <w:tcPr>
            <w:tcW w:w="900" w:type="dxa"/>
            <w:noWrap w:val="0"/>
            <w:vAlign w:val="center"/>
          </w:tcPr>
          <w:p>
            <w:pPr>
              <w:jc w:val="center"/>
              <w:rPr>
                <w:rFonts w:hint="eastAsia" w:ascii="仿宋_GB2312" w:hAnsi="仿宋" w:eastAsia="仿宋_GB2312"/>
                <w:kern w:val="0"/>
                <w:sz w:val="28"/>
                <w:szCs w:val="28"/>
              </w:rPr>
            </w:pPr>
            <w:r>
              <w:rPr>
                <w:rFonts w:hint="eastAsia" w:ascii="仿宋_GB2312" w:hAnsi="仿宋" w:eastAsia="仿宋_GB2312"/>
                <w:kern w:val="0"/>
                <w:sz w:val="28"/>
                <w:szCs w:val="28"/>
              </w:rPr>
              <w:t>1533</w:t>
            </w:r>
          </w:p>
        </w:tc>
        <w:tc>
          <w:tcPr>
            <w:tcW w:w="900" w:type="dxa"/>
            <w:noWrap w:val="0"/>
            <w:vAlign w:val="center"/>
          </w:tcPr>
          <w:p>
            <w:pPr>
              <w:jc w:val="center"/>
              <w:rPr>
                <w:rFonts w:hint="eastAsia" w:ascii="仿宋_GB2312" w:hAnsi="仿宋" w:eastAsia="仿宋_GB2312"/>
                <w:kern w:val="0"/>
                <w:sz w:val="28"/>
                <w:szCs w:val="28"/>
              </w:rPr>
            </w:pPr>
            <w:r>
              <w:rPr>
                <w:rFonts w:hint="eastAsia" w:ascii="仿宋_GB2312" w:hAnsi="仿宋" w:eastAsia="仿宋_GB2312"/>
                <w:kern w:val="0"/>
                <w:sz w:val="28"/>
                <w:szCs w:val="28"/>
              </w:rPr>
              <w:t>432</w:t>
            </w:r>
          </w:p>
        </w:tc>
        <w:tc>
          <w:tcPr>
            <w:tcW w:w="1800" w:type="dxa"/>
            <w:noWrap w:val="0"/>
            <w:vAlign w:val="center"/>
          </w:tcPr>
          <w:p>
            <w:pPr>
              <w:jc w:val="center"/>
              <w:rPr>
                <w:rFonts w:hint="eastAsia" w:ascii="仿宋_GB2312" w:hAnsi="仿宋" w:eastAsia="仿宋_GB2312"/>
                <w:kern w:val="0"/>
                <w:sz w:val="28"/>
                <w:szCs w:val="28"/>
              </w:rPr>
            </w:pPr>
            <w:r>
              <w:rPr>
                <w:rFonts w:hint="eastAsia" w:ascii="仿宋_GB2312" w:hAnsi="仿宋" w:eastAsia="仿宋_GB2312"/>
                <w:kern w:val="0"/>
                <w:sz w:val="28"/>
                <w:szCs w:val="28"/>
              </w:rPr>
              <w:t>44</w:t>
            </w:r>
          </w:p>
        </w:tc>
        <w:tc>
          <w:tcPr>
            <w:tcW w:w="1080" w:type="dxa"/>
            <w:noWrap w:val="0"/>
            <w:vAlign w:val="top"/>
          </w:tcPr>
          <w:p>
            <w:pPr>
              <w:widowControl/>
              <w:jc w:val="center"/>
              <w:rPr>
                <w:rFonts w:hint="eastAsia" w:ascii="仿宋_GB2312" w:eastAsia="仿宋_GB2312"/>
                <w:kern w:val="0"/>
                <w:sz w:val="28"/>
                <w:szCs w:val="28"/>
              </w:rPr>
            </w:pPr>
            <w:r>
              <w:rPr>
                <w:rFonts w:hint="eastAsia" w:ascii="仿宋_GB2312" w:eastAsia="仿宋_GB2312"/>
                <w:kern w:val="0"/>
                <w:sz w:val="28"/>
                <w:szCs w:val="28"/>
              </w:rPr>
              <w:t>2085</w:t>
            </w:r>
          </w:p>
        </w:tc>
      </w:tr>
    </w:tbl>
    <w:p>
      <w:pPr>
        <w:spacing w:line="440" w:lineRule="exact"/>
        <w:rPr>
          <w:rFonts w:ascii="仿宋_GB2312" w:eastAsia="仿宋_GB2312"/>
          <w:sz w:val="28"/>
          <w:szCs w:val="28"/>
        </w:rPr>
      </w:pPr>
      <w:r>
        <w:rPr>
          <w:rFonts w:hint="eastAsia" w:ascii="仿宋_GB2312" w:eastAsia="仿宋_GB2312"/>
          <w:sz w:val="28"/>
          <w:szCs w:val="28"/>
        </w:rPr>
        <w:t>说明：</w:t>
      </w:r>
    </w:p>
    <w:p>
      <w:pPr>
        <w:spacing w:line="44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本公示中，昆明市市本级是指单位税务关系属于国家税务总局云南省税务局第二税务分局、国家税务总局昆明市税务局第一税务分局、国家税务总局昆明高新技术产业开发区税务局、国家税务总局昆明经济技术开发区税务局、国家税务总局昆明滇池国家旅游度假区税务局的用人单位。</w:t>
      </w:r>
    </w:p>
    <w:p>
      <w:pPr>
        <w:spacing w:line="44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、用人单位是指国家机关、社会团体、企业、事业单位、民办非企业单位。</w:t>
      </w:r>
    </w:p>
    <w:p>
      <w:pPr>
        <w:spacing w:line="44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、“本地区参加残疾人按比例就业年审用人单位数”和“本地区用人单位安排残疾人就业数”是根据“云南省残疾人按比例就业年审系统”中参加</w:t>
      </w:r>
      <w:r>
        <w:rPr>
          <w:rFonts w:ascii="仿宋_GB2312" w:eastAsia="仿宋_GB2312"/>
          <w:sz w:val="28"/>
          <w:szCs w:val="28"/>
        </w:rPr>
        <w:t>20</w:t>
      </w:r>
      <w:r>
        <w:rPr>
          <w:rFonts w:hint="eastAsia" w:ascii="仿宋_GB2312" w:eastAsia="仿宋_GB2312"/>
          <w:sz w:val="28"/>
          <w:szCs w:val="28"/>
        </w:rPr>
        <w:t>20年度年审残疾人职工平均人数。</w:t>
      </w:r>
    </w:p>
    <w:p>
      <w:pPr>
        <w:spacing w:line="440" w:lineRule="exact"/>
        <w:ind w:firstLine="560" w:firstLineChars="200"/>
        <w:rPr>
          <w:rFonts w:hint="eastAsia" w:ascii="仿宋_GB2312" w:eastAsia="仿宋_GB2312"/>
          <w:sz w:val="28"/>
          <w:szCs w:val="28"/>
        </w:rPr>
      </w:pPr>
      <w:r>
        <w:rPr>
          <w:rFonts w:ascii="仿宋_GB2312" w:eastAsia="仿宋_GB2312"/>
          <w:sz w:val="28"/>
          <w:szCs w:val="28"/>
        </w:rPr>
        <w:t>4</w:t>
      </w:r>
      <w:r>
        <w:rPr>
          <w:rFonts w:hint="eastAsia" w:ascii="仿宋_GB2312" w:eastAsia="仿宋_GB2312"/>
          <w:sz w:val="28"/>
          <w:szCs w:val="28"/>
        </w:rPr>
        <w:t>、本地区用人单位安排残疾人就业人数是依据《云南省残疾人保障条例》第</w:t>
      </w:r>
      <w:r>
        <w:rPr>
          <w:rFonts w:ascii="仿宋_GB2312" w:eastAsia="仿宋_GB2312"/>
          <w:sz w:val="28"/>
          <w:szCs w:val="28"/>
        </w:rPr>
        <w:t>18</w:t>
      </w:r>
      <w:r>
        <w:rPr>
          <w:rFonts w:hint="eastAsia" w:ascii="仿宋_GB2312" w:eastAsia="仿宋_GB2312"/>
          <w:sz w:val="28"/>
          <w:szCs w:val="28"/>
        </w:rPr>
        <w:t>条“国家机关、企业、事业单位、社会团体，民办非企业等用人单位安排残疾人就业人数比例不得低于本单位职工总数的</w:t>
      </w:r>
      <w:r>
        <w:rPr>
          <w:rFonts w:ascii="仿宋_GB2312" w:eastAsia="仿宋_GB2312"/>
          <w:sz w:val="28"/>
          <w:szCs w:val="28"/>
        </w:rPr>
        <w:t>1.5%</w:t>
      </w:r>
      <w:r>
        <w:rPr>
          <w:rFonts w:hint="eastAsia" w:ascii="仿宋_GB2312" w:eastAsia="仿宋_GB2312"/>
          <w:sz w:val="28"/>
          <w:szCs w:val="28"/>
        </w:rPr>
        <w:t>”之规定，按照</w:t>
      </w:r>
      <w:r>
        <w:rPr>
          <w:rFonts w:ascii="仿宋_GB2312" w:eastAsia="仿宋_GB2312"/>
          <w:sz w:val="28"/>
          <w:szCs w:val="28"/>
        </w:rPr>
        <w:t>1.5%</w:t>
      </w:r>
      <w:r>
        <w:rPr>
          <w:rFonts w:hint="eastAsia" w:ascii="仿宋_GB2312" w:eastAsia="仿宋_GB2312"/>
          <w:sz w:val="28"/>
          <w:szCs w:val="28"/>
        </w:rPr>
        <w:t>比例到小数点后二位确定。</w:t>
      </w:r>
    </w:p>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20951"/>
    <w:rsid w:val="5FB209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2021-04-29T02:13:00Z</dcterms:created>
  <dc:creator>和烟</dc:creator>
  <cp:lastModifiedBy>和烟</cp:lastModifiedBy>
  <dcterms:modified xsi:type="dcterms:W3CDTF">2021-04-29T02:14:05Z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5DCB9AB3DF724229A71366F138A3CEFD</vt:lpwstr>
  </property>
  <property fmtid="{D5CDD505-2E9C-101B-9397-08002B2CF9AE}" pid="4" name="KSOSaveFontToCloudKey">
    <vt:lpwstr>337863520_btnclosed</vt:lpwstr>
  </property>
</Properties>
</file>